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43" w:rsidRDefault="00641943">
      <w:pPr>
        <w:pStyle w:val="En-ttedetabledesmatires"/>
        <w:rPr>
          <w:lang w:val="fr-FR"/>
        </w:rPr>
      </w:pPr>
      <w:r>
        <w:rPr>
          <w:noProof/>
        </w:rPr>
        <w:drawing>
          <wp:inline distT="0" distB="0" distL="0" distR="0">
            <wp:extent cx="3388711" cy="90487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7750" cy="904618"/>
                    </a:xfrm>
                    <a:prstGeom prst="rect">
                      <a:avLst/>
                    </a:prstGeom>
                    <a:noFill/>
                  </pic:spPr>
                </pic:pic>
              </a:graphicData>
            </a:graphic>
          </wp:inline>
        </w:drawing>
      </w:r>
    </w:p>
    <w:p w:rsidR="00641943" w:rsidRDefault="00641943" w:rsidP="00641943">
      <w:pPr>
        <w:rPr>
          <w:lang w:val="fr-FR" w:eastAsia="fr-CA"/>
        </w:rPr>
      </w:pPr>
    </w:p>
    <w:p w:rsidR="00641943" w:rsidRDefault="00641943" w:rsidP="00641943">
      <w:pPr>
        <w:rPr>
          <w:lang w:val="fr-FR" w:eastAsia="fr-CA"/>
        </w:rPr>
      </w:pPr>
    </w:p>
    <w:p w:rsidR="00641943" w:rsidRDefault="00641943" w:rsidP="00641943">
      <w:pPr>
        <w:rPr>
          <w:lang w:val="fr-FR" w:eastAsia="fr-CA"/>
        </w:rPr>
      </w:pPr>
    </w:p>
    <w:p w:rsidR="00345C69" w:rsidRDefault="00345C69" w:rsidP="00641943">
      <w:pPr>
        <w:jc w:val="right"/>
        <w:rPr>
          <w:sz w:val="48"/>
          <w:szCs w:val="48"/>
          <w:lang w:val="fr-FR" w:eastAsia="fr-CA"/>
        </w:rPr>
      </w:pPr>
      <w:r>
        <w:rPr>
          <w:sz w:val="48"/>
          <w:szCs w:val="48"/>
          <w:lang w:val="fr-FR" w:eastAsia="fr-CA"/>
        </w:rPr>
        <w:t>Projet de loi</w:t>
      </w:r>
      <w:r w:rsidR="005A1776">
        <w:rPr>
          <w:sz w:val="48"/>
          <w:szCs w:val="48"/>
          <w:lang w:val="fr-FR" w:eastAsia="fr-CA"/>
        </w:rPr>
        <w:t> </w:t>
      </w:r>
      <w:r>
        <w:rPr>
          <w:sz w:val="48"/>
          <w:szCs w:val="48"/>
          <w:lang w:val="fr-FR" w:eastAsia="fr-CA"/>
        </w:rPr>
        <w:t>10 :</w:t>
      </w:r>
    </w:p>
    <w:p w:rsidR="00641943" w:rsidRPr="00423107" w:rsidRDefault="00947257" w:rsidP="00641943">
      <w:pPr>
        <w:jc w:val="right"/>
        <w:rPr>
          <w:sz w:val="48"/>
          <w:szCs w:val="48"/>
          <w:lang w:val="fr-FR" w:eastAsia="fr-CA"/>
        </w:rPr>
      </w:pPr>
      <w:r>
        <w:rPr>
          <w:sz w:val="48"/>
          <w:szCs w:val="48"/>
          <w:lang w:val="fr-FR" w:eastAsia="fr-CA"/>
        </w:rPr>
        <w:t>La régionalisation en p</w:t>
      </w:r>
      <w:r w:rsidR="00345C69">
        <w:rPr>
          <w:sz w:val="48"/>
          <w:szCs w:val="48"/>
          <w:lang w:val="fr-FR" w:eastAsia="fr-CA"/>
        </w:rPr>
        <w:t>éril</w:t>
      </w:r>
    </w:p>
    <w:p w:rsidR="00641943" w:rsidRDefault="00641943" w:rsidP="00641943">
      <w:pPr>
        <w:jc w:val="right"/>
        <w:rPr>
          <w:lang w:val="fr-FR" w:eastAsia="fr-CA"/>
        </w:rPr>
      </w:pPr>
    </w:p>
    <w:p w:rsidR="00641943" w:rsidRDefault="00641943" w:rsidP="00641943">
      <w:pPr>
        <w:jc w:val="right"/>
        <w:rPr>
          <w:lang w:val="fr-FR" w:eastAsia="fr-CA"/>
        </w:rPr>
      </w:pPr>
    </w:p>
    <w:p w:rsidR="00641943" w:rsidRDefault="00641943" w:rsidP="00423107">
      <w:pPr>
        <w:spacing w:after="0"/>
        <w:jc w:val="right"/>
        <w:rPr>
          <w:lang w:val="fr-FR" w:eastAsia="fr-CA"/>
        </w:rPr>
      </w:pPr>
      <w:r>
        <w:rPr>
          <w:lang w:val="fr-FR" w:eastAsia="fr-CA"/>
        </w:rPr>
        <w:t>Mémoire de la Coalition des tables régionales</w:t>
      </w:r>
    </w:p>
    <w:p w:rsidR="00641943" w:rsidRDefault="000B7E56" w:rsidP="00423107">
      <w:pPr>
        <w:spacing w:after="0"/>
        <w:jc w:val="right"/>
        <w:rPr>
          <w:lang w:val="fr-FR" w:eastAsia="fr-CA"/>
        </w:rPr>
      </w:pPr>
      <w:proofErr w:type="gramStart"/>
      <w:r>
        <w:rPr>
          <w:lang w:val="fr-FR" w:eastAsia="fr-CA"/>
        </w:rPr>
        <w:t>d</w:t>
      </w:r>
      <w:r w:rsidR="00641943">
        <w:rPr>
          <w:lang w:val="fr-FR" w:eastAsia="fr-CA"/>
        </w:rPr>
        <w:t>’organismes</w:t>
      </w:r>
      <w:proofErr w:type="gramEnd"/>
      <w:r w:rsidR="00423107">
        <w:rPr>
          <w:lang w:val="fr-FR" w:eastAsia="fr-CA"/>
        </w:rPr>
        <w:t xml:space="preserve"> communautaires (CTROC) </w:t>
      </w:r>
    </w:p>
    <w:p w:rsidR="000B7E56" w:rsidRDefault="000B7E56" w:rsidP="00423107">
      <w:pPr>
        <w:spacing w:after="0"/>
        <w:jc w:val="right"/>
        <w:rPr>
          <w:lang w:val="fr-FR" w:eastAsia="fr-CA"/>
        </w:rPr>
      </w:pPr>
    </w:p>
    <w:p w:rsidR="00423107" w:rsidRDefault="000B7E56" w:rsidP="00423107">
      <w:pPr>
        <w:spacing w:after="0"/>
        <w:jc w:val="right"/>
        <w:rPr>
          <w:lang w:val="fr-FR" w:eastAsia="fr-CA"/>
        </w:rPr>
      </w:pPr>
      <w:r>
        <w:rPr>
          <w:lang w:val="fr-FR" w:eastAsia="fr-CA"/>
        </w:rPr>
        <w:t>Présenté à la C</w:t>
      </w:r>
      <w:r w:rsidR="00423107">
        <w:rPr>
          <w:lang w:val="fr-FR" w:eastAsia="fr-CA"/>
        </w:rPr>
        <w:t>ommission de la Santé et des services sociaux</w:t>
      </w:r>
    </w:p>
    <w:p w:rsidR="00423107" w:rsidRPr="00423107" w:rsidRDefault="00423107" w:rsidP="00423107">
      <w:pPr>
        <w:spacing w:after="0"/>
        <w:jc w:val="right"/>
        <w:rPr>
          <w:i/>
          <w:lang w:val="fr-FR" w:eastAsia="fr-CA"/>
        </w:rPr>
      </w:pPr>
      <w:r>
        <w:rPr>
          <w:lang w:val="fr-FR" w:eastAsia="fr-CA"/>
        </w:rPr>
        <w:t>Sur</w:t>
      </w:r>
      <w:r w:rsidRPr="00423107">
        <w:rPr>
          <w:lang w:val="fr-FR" w:eastAsia="fr-CA"/>
        </w:rPr>
        <w:t xml:space="preserve"> la</w:t>
      </w:r>
      <w:r w:rsidRPr="00423107">
        <w:rPr>
          <w:i/>
          <w:lang w:val="fr-FR" w:eastAsia="fr-CA"/>
        </w:rPr>
        <w:t xml:space="preserve"> Loi modifiant l’organisation et la gouvernance du réseau</w:t>
      </w:r>
    </w:p>
    <w:p w:rsidR="00423107" w:rsidRDefault="000B7E56" w:rsidP="00423107">
      <w:pPr>
        <w:spacing w:after="0"/>
        <w:jc w:val="right"/>
        <w:rPr>
          <w:i/>
          <w:lang w:val="fr-FR" w:eastAsia="fr-CA"/>
        </w:rPr>
      </w:pPr>
      <w:proofErr w:type="gramStart"/>
      <w:r>
        <w:rPr>
          <w:i/>
          <w:lang w:val="fr-FR" w:eastAsia="fr-CA"/>
        </w:rPr>
        <w:t>d</w:t>
      </w:r>
      <w:r w:rsidR="00423107" w:rsidRPr="00423107">
        <w:rPr>
          <w:i/>
          <w:lang w:val="fr-FR" w:eastAsia="fr-CA"/>
        </w:rPr>
        <w:t>e</w:t>
      </w:r>
      <w:proofErr w:type="gramEnd"/>
      <w:r w:rsidR="00423107" w:rsidRPr="00423107">
        <w:rPr>
          <w:i/>
          <w:lang w:val="fr-FR" w:eastAsia="fr-CA"/>
        </w:rPr>
        <w:t xml:space="preserve"> la santé et des services sociaux notamment par l’abolition des agences régionales</w:t>
      </w:r>
    </w:p>
    <w:p w:rsidR="00423107" w:rsidRDefault="00423107" w:rsidP="00423107">
      <w:pPr>
        <w:spacing w:after="0"/>
        <w:jc w:val="right"/>
        <w:rPr>
          <w:i/>
          <w:lang w:val="fr-FR" w:eastAsia="fr-CA"/>
        </w:rPr>
      </w:pPr>
    </w:p>
    <w:p w:rsidR="00423107" w:rsidRDefault="00423107" w:rsidP="00423107">
      <w:pPr>
        <w:spacing w:after="0"/>
        <w:jc w:val="right"/>
        <w:rPr>
          <w:i/>
          <w:lang w:val="fr-FR" w:eastAsia="fr-CA"/>
        </w:rPr>
      </w:pPr>
    </w:p>
    <w:p w:rsidR="00423107" w:rsidRDefault="00423107" w:rsidP="00423107">
      <w:pPr>
        <w:spacing w:after="0"/>
        <w:jc w:val="right"/>
        <w:rPr>
          <w:i/>
          <w:lang w:val="fr-FR" w:eastAsia="fr-CA"/>
        </w:rPr>
      </w:pPr>
    </w:p>
    <w:p w:rsidR="00423107" w:rsidRDefault="00423107" w:rsidP="00423107">
      <w:pPr>
        <w:spacing w:after="0"/>
        <w:jc w:val="right"/>
        <w:rPr>
          <w:i/>
          <w:lang w:val="fr-FR" w:eastAsia="fr-CA"/>
        </w:rPr>
      </w:pPr>
    </w:p>
    <w:p w:rsidR="00423107" w:rsidRPr="00423107" w:rsidRDefault="00423107" w:rsidP="00423107">
      <w:pPr>
        <w:spacing w:after="0"/>
        <w:jc w:val="right"/>
        <w:rPr>
          <w:lang w:val="fr-FR" w:eastAsia="fr-CA"/>
        </w:rPr>
      </w:pPr>
    </w:p>
    <w:p w:rsidR="00423107" w:rsidRPr="00423107" w:rsidRDefault="00423107" w:rsidP="00423107">
      <w:pPr>
        <w:spacing w:after="0"/>
        <w:jc w:val="center"/>
        <w:rPr>
          <w:lang w:val="fr-FR" w:eastAsia="fr-CA"/>
        </w:rPr>
      </w:pPr>
      <w:r w:rsidRPr="00423107">
        <w:rPr>
          <w:lang w:val="fr-FR" w:eastAsia="fr-CA"/>
        </w:rPr>
        <w:t>Novembre 2014</w:t>
      </w:r>
    </w:p>
    <w:p w:rsidR="00641943" w:rsidRDefault="00641943" w:rsidP="00641943">
      <w:pPr>
        <w:rPr>
          <w:rFonts w:asciiTheme="majorHAnsi" w:eastAsiaTheme="majorEastAsia" w:hAnsiTheme="majorHAnsi" w:cstheme="majorBidi"/>
          <w:color w:val="365F91" w:themeColor="accent1" w:themeShade="BF"/>
          <w:sz w:val="28"/>
          <w:szCs w:val="28"/>
          <w:lang w:val="fr-FR" w:eastAsia="fr-CA"/>
        </w:rPr>
      </w:pPr>
      <w:r>
        <w:rPr>
          <w:lang w:val="fr-FR"/>
        </w:rPr>
        <w:br w:type="page"/>
      </w:r>
    </w:p>
    <w:sdt>
      <w:sdtPr>
        <w:rPr>
          <w:rFonts w:asciiTheme="minorHAnsi" w:eastAsiaTheme="minorHAnsi" w:hAnsiTheme="minorHAnsi" w:cstheme="minorBidi"/>
          <w:b w:val="0"/>
          <w:bCs w:val="0"/>
          <w:color w:val="auto"/>
          <w:sz w:val="22"/>
          <w:szCs w:val="22"/>
          <w:lang w:val="fr-FR" w:eastAsia="en-US"/>
        </w:rPr>
        <w:id w:val="2145855452"/>
        <w:docPartObj>
          <w:docPartGallery w:val="Table of Contents"/>
          <w:docPartUnique/>
        </w:docPartObj>
      </w:sdtPr>
      <w:sdtEndPr/>
      <w:sdtContent>
        <w:p w:rsidR="009C5FA6" w:rsidRDefault="00423107">
          <w:pPr>
            <w:pStyle w:val="En-ttedetabledesmatires"/>
          </w:pPr>
          <w:r>
            <w:rPr>
              <w:lang w:val="fr-FR"/>
            </w:rPr>
            <w:t>Table des matières</w:t>
          </w:r>
        </w:p>
        <w:p w:rsidR="00F36C1B" w:rsidRDefault="001A0A1A">
          <w:pPr>
            <w:pStyle w:val="TM2"/>
            <w:tabs>
              <w:tab w:val="right" w:leader="dot" w:pos="8630"/>
            </w:tabs>
            <w:rPr>
              <w:rFonts w:eastAsiaTheme="minorEastAsia"/>
              <w:noProof/>
              <w:lang w:eastAsia="fr-CA"/>
            </w:rPr>
          </w:pPr>
          <w:r>
            <w:fldChar w:fldCharType="begin"/>
          </w:r>
          <w:r w:rsidR="009C5FA6">
            <w:instrText xml:space="preserve"> TOC \o "1-3" \h \z \u </w:instrText>
          </w:r>
          <w:r>
            <w:fldChar w:fldCharType="separate"/>
          </w:r>
          <w:hyperlink w:anchor="_Toc403383304" w:history="1">
            <w:r w:rsidR="00F36C1B" w:rsidRPr="00C64364">
              <w:rPr>
                <w:rStyle w:val="Lienhypertexte"/>
                <w:noProof/>
              </w:rPr>
              <w:t>Présentation de la Coalition des tables régionales d’organismes communautaires</w:t>
            </w:r>
            <w:r w:rsidR="00F36C1B">
              <w:rPr>
                <w:noProof/>
                <w:webHidden/>
              </w:rPr>
              <w:tab/>
            </w:r>
            <w:r w:rsidR="00F36C1B">
              <w:rPr>
                <w:noProof/>
                <w:webHidden/>
              </w:rPr>
              <w:fldChar w:fldCharType="begin"/>
            </w:r>
            <w:r w:rsidR="00F36C1B">
              <w:rPr>
                <w:noProof/>
                <w:webHidden/>
              </w:rPr>
              <w:instrText xml:space="preserve"> PAGEREF _Toc403383304 \h </w:instrText>
            </w:r>
            <w:r w:rsidR="00F36C1B">
              <w:rPr>
                <w:noProof/>
                <w:webHidden/>
              </w:rPr>
            </w:r>
            <w:r w:rsidR="00F36C1B">
              <w:rPr>
                <w:noProof/>
                <w:webHidden/>
              </w:rPr>
              <w:fldChar w:fldCharType="separate"/>
            </w:r>
            <w:r w:rsidR="00F36C1B">
              <w:rPr>
                <w:noProof/>
                <w:webHidden/>
              </w:rPr>
              <w:t>3</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05" w:history="1">
            <w:r w:rsidR="00F36C1B" w:rsidRPr="00C64364">
              <w:rPr>
                <w:rStyle w:val="Lienhypertexte"/>
                <w:noProof/>
              </w:rPr>
              <w:t>Introduction</w:t>
            </w:r>
            <w:r w:rsidR="00F36C1B">
              <w:rPr>
                <w:noProof/>
                <w:webHidden/>
              </w:rPr>
              <w:tab/>
            </w:r>
            <w:r w:rsidR="00F36C1B">
              <w:rPr>
                <w:noProof/>
                <w:webHidden/>
              </w:rPr>
              <w:fldChar w:fldCharType="begin"/>
            </w:r>
            <w:r w:rsidR="00F36C1B">
              <w:rPr>
                <w:noProof/>
                <w:webHidden/>
              </w:rPr>
              <w:instrText xml:space="preserve"> PAGEREF _Toc403383305 \h </w:instrText>
            </w:r>
            <w:r w:rsidR="00F36C1B">
              <w:rPr>
                <w:noProof/>
                <w:webHidden/>
              </w:rPr>
            </w:r>
            <w:r w:rsidR="00F36C1B">
              <w:rPr>
                <w:noProof/>
                <w:webHidden/>
              </w:rPr>
              <w:fldChar w:fldCharType="separate"/>
            </w:r>
            <w:r w:rsidR="00F36C1B">
              <w:rPr>
                <w:noProof/>
                <w:webHidden/>
              </w:rPr>
              <w:t>4</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06" w:history="1">
            <w:r w:rsidR="00F36C1B" w:rsidRPr="00C64364">
              <w:rPr>
                <w:rStyle w:val="Lienhypertexte"/>
                <w:noProof/>
              </w:rPr>
              <w:t>1. La place des services sociaux et de la prévention</w:t>
            </w:r>
            <w:r w:rsidR="00F36C1B">
              <w:rPr>
                <w:noProof/>
                <w:webHidden/>
              </w:rPr>
              <w:tab/>
            </w:r>
            <w:r w:rsidR="00F36C1B">
              <w:rPr>
                <w:noProof/>
                <w:webHidden/>
              </w:rPr>
              <w:fldChar w:fldCharType="begin"/>
            </w:r>
            <w:r w:rsidR="00F36C1B">
              <w:rPr>
                <w:noProof/>
                <w:webHidden/>
              </w:rPr>
              <w:instrText xml:space="preserve"> PAGEREF _Toc403383306 \h </w:instrText>
            </w:r>
            <w:r w:rsidR="00F36C1B">
              <w:rPr>
                <w:noProof/>
                <w:webHidden/>
              </w:rPr>
            </w:r>
            <w:r w:rsidR="00F36C1B">
              <w:rPr>
                <w:noProof/>
                <w:webHidden/>
              </w:rPr>
              <w:fldChar w:fldCharType="separate"/>
            </w:r>
            <w:r w:rsidR="00F36C1B">
              <w:rPr>
                <w:noProof/>
                <w:webHidden/>
              </w:rPr>
              <w:t>5</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07" w:history="1">
            <w:r w:rsidR="00F36C1B" w:rsidRPr="00C64364">
              <w:rPr>
                <w:rStyle w:val="Lienhypertexte"/>
                <w:noProof/>
              </w:rPr>
              <w:t>2. L’élargissement des pouvoirs du ministre</w:t>
            </w:r>
            <w:r w:rsidR="00F36C1B">
              <w:rPr>
                <w:noProof/>
                <w:webHidden/>
              </w:rPr>
              <w:tab/>
            </w:r>
            <w:r w:rsidR="00F36C1B">
              <w:rPr>
                <w:noProof/>
                <w:webHidden/>
              </w:rPr>
              <w:fldChar w:fldCharType="begin"/>
            </w:r>
            <w:r w:rsidR="00F36C1B">
              <w:rPr>
                <w:noProof/>
                <w:webHidden/>
              </w:rPr>
              <w:instrText xml:space="preserve"> PAGEREF _Toc403383307 \h </w:instrText>
            </w:r>
            <w:r w:rsidR="00F36C1B">
              <w:rPr>
                <w:noProof/>
                <w:webHidden/>
              </w:rPr>
            </w:r>
            <w:r w:rsidR="00F36C1B">
              <w:rPr>
                <w:noProof/>
                <w:webHidden/>
              </w:rPr>
              <w:fldChar w:fldCharType="separate"/>
            </w:r>
            <w:r w:rsidR="00F36C1B">
              <w:rPr>
                <w:noProof/>
                <w:webHidden/>
              </w:rPr>
              <w:t>6</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08" w:history="1">
            <w:r w:rsidR="00F36C1B" w:rsidRPr="00C64364">
              <w:rPr>
                <w:rStyle w:val="Lienhypertexte"/>
                <w:noProof/>
              </w:rPr>
              <w:t>3. La parole citoyenne et communautaire</w:t>
            </w:r>
            <w:r w:rsidR="00F36C1B">
              <w:rPr>
                <w:noProof/>
                <w:webHidden/>
              </w:rPr>
              <w:tab/>
            </w:r>
            <w:r w:rsidR="00F36C1B">
              <w:rPr>
                <w:noProof/>
                <w:webHidden/>
              </w:rPr>
              <w:fldChar w:fldCharType="begin"/>
            </w:r>
            <w:r w:rsidR="00F36C1B">
              <w:rPr>
                <w:noProof/>
                <w:webHidden/>
              </w:rPr>
              <w:instrText xml:space="preserve"> PAGEREF _Toc403383308 \h </w:instrText>
            </w:r>
            <w:r w:rsidR="00F36C1B">
              <w:rPr>
                <w:noProof/>
                <w:webHidden/>
              </w:rPr>
            </w:r>
            <w:r w:rsidR="00F36C1B">
              <w:rPr>
                <w:noProof/>
                <w:webHidden/>
              </w:rPr>
              <w:fldChar w:fldCharType="separate"/>
            </w:r>
            <w:r w:rsidR="00F36C1B">
              <w:rPr>
                <w:noProof/>
                <w:webHidden/>
              </w:rPr>
              <w:t>7</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09" w:history="1">
            <w:r w:rsidR="00F36C1B" w:rsidRPr="00C64364">
              <w:rPr>
                <w:rStyle w:val="Lienhypertexte"/>
                <w:noProof/>
              </w:rPr>
              <w:t>4. L’attribution des subventions aux organismes communautaires</w:t>
            </w:r>
            <w:r w:rsidR="00F36C1B">
              <w:rPr>
                <w:noProof/>
                <w:webHidden/>
              </w:rPr>
              <w:tab/>
            </w:r>
            <w:r w:rsidR="00F36C1B">
              <w:rPr>
                <w:noProof/>
                <w:webHidden/>
              </w:rPr>
              <w:fldChar w:fldCharType="begin"/>
            </w:r>
            <w:r w:rsidR="00F36C1B">
              <w:rPr>
                <w:noProof/>
                <w:webHidden/>
              </w:rPr>
              <w:instrText xml:space="preserve"> PAGEREF _Toc403383309 \h </w:instrText>
            </w:r>
            <w:r w:rsidR="00F36C1B">
              <w:rPr>
                <w:noProof/>
                <w:webHidden/>
              </w:rPr>
            </w:r>
            <w:r w:rsidR="00F36C1B">
              <w:rPr>
                <w:noProof/>
                <w:webHidden/>
              </w:rPr>
              <w:fldChar w:fldCharType="separate"/>
            </w:r>
            <w:r w:rsidR="00F36C1B">
              <w:rPr>
                <w:noProof/>
                <w:webHidden/>
              </w:rPr>
              <w:t>9</w:t>
            </w:r>
            <w:r w:rsidR="00F36C1B">
              <w:rPr>
                <w:noProof/>
                <w:webHidden/>
              </w:rPr>
              <w:fldChar w:fldCharType="end"/>
            </w:r>
          </w:hyperlink>
        </w:p>
        <w:p w:rsidR="00F36C1B" w:rsidRDefault="005E3B50">
          <w:pPr>
            <w:pStyle w:val="TM3"/>
            <w:tabs>
              <w:tab w:val="right" w:leader="dot" w:pos="8630"/>
            </w:tabs>
            <w:rPr>
              <w:rFonts w:eastAsiaTheme="minorEastAsia"/>
              <w:noProof/>
              <w:lang w:eastAsia="fr-CA"/>
            </w:rPr>
          </w:pPr>
          <w:hyperlink w:anchor="_Toc403383310" w:history="1">
            <w:r w:rsidR="00F36C1B" w:rsidRPr="00C64364">
              <w:rPr>
                <w:rStyle w:val="Lienhypertexte"/>
                <w:noProof/>
              </w:rPr>
              <w:t>4.1 La gestion budgétaire par programme-service</w:t>
            </w:r>
            <w:r w:rsidR="00F36C1B">
              <w:rPr>
                <w:noProof/>
                <w:webHidden/>
              </w:rPr>
              <w:tab/>
            </w:r>
            <w:r w:rsidR="00F36C1B">
              <w:rPr>
                <w:noProof/>
                <w:webHidden/>
              </w:rPr>
              <w:fldChar w:fldCharType="begin"/>
            </w:r>
            <w:r w:rsidR="00F36C1B">
              <w:rPr>
                <w:noProof/>
                <w:webHidden/>
              </w:rPr>
              <w:instrText xml:space="preserve"> PAGEREF _Toc403383310 \h </w:instrText>
            </w:r>
            <w:r w:rsidR="00F36C1B">
              <w:rPr>
                <w:noProof/>
                <w:webHidden/>
              </w:rPr>
            </w:r>
            <w:r w:rsidR="00F36C1B">
              <w:rPr>
                <w:noProof/>
                <w:webHidden/>
              </w:rPr>
              <w:fldChar w:fldCharType="separate"/>
            </w:r>
            <w:r w:rsidR="00F36C1B">
              <w:rPr>
                <w:noProof/>
                <w:webHidden/>
              </w:rPr>
              <w:t>11</w:t>
            </w:r>
            <w:r w:rsidR="00F36C1B">
              <w:rPr>
                <w:noProof/>
                <w:webHidden/>
              </w:rPr>
              <w:fldChar w:fldCharType="end"/>
            </w:r>
          </w:hyperlink>
        </w:p>
        <w:p w:rsidR="00F36C1B" w:rsidRDefault="005E3B50">
          <w:pPr>
            <w:pStyle w:val="TM3"/>
            <w:tabs>
              <w:tab w:val="right" w:leader="dot" w:pos="8630"/>
            </w:tabs>
            <w:rPr>
              <w:rFonts w:eastAsiaTheme="minorEastAsia"/>
              <w:noProof/>
              <w:lang w:eastAsia="fr-CA"/>
            </w:rPr>
          </w:pPr>
          <w:hyperlink w:anchor="_Toc403383311" w:history="1">
            <w:r w:rsidR="00F36C1B" w:rsidRPr="00C64364">
              <w:rPr>
                <w:rStyle w:val="Lienhypertexte"/>
                <w:noProof/>
              </w:rPr>
              <w:t>4.2 Les spécificités régionales et locales</w:t>
            </w:r>
            <w:r w:rsidR="00F36C1B">
              <w:rPr>
                <w:noProof/>
                <w:webHidden/>
              </w:rPr>
              <w:tab/>
            </w:r>
            <w:r w:rsidR="00F36C1B">
              <w:rPr>
                <w:noProof/>
                <w:webHidden/>
              </w:rPr>
              <w:fldChar w:fldCharType="begin"/>
            </w:r>
            <w:r w:rsidR="00F36C1B">
              <w:rPr>
                <w:noProof/>
                <w:webHidden/>
              </w:rPr>
              <w:instrText xml:space="preserve"> PAGEREF _Toc403383311 \h </w:instrText>
            </w:r>
            <w:r w:rsidR="00F36C1B">
              <w:rPr>
                <w:noProof/>
                <w:webHidden/>
              </w:rPr>
            </w:r>
            <w:r w:rsidR="00F36C1B">
              <w:rPr>
                <w:noProof/>
                <w:webHidden/>
              </w:rPr>
              <w:fldChar w:fldCharType="separate"/>
            </w:r>
            <w:r w:rsidR="00F36C1B">
              <w:rPr>
                <w:noProof/>
                <w:webHidden/>
              </w:rPr>
              <w:t>12</w:t>
            </w:r>
            <w:r w:rsidR="00F36C1B">
              <w:rPr>
                <w:noProof/>
                <w:webHidden/>
              </w:rPr>
              <w:fldChar w:fldCharType="end"/>
            </w:r>
          </w:hyperlink>
        </w:p>
        <w:p w:rsidR="00F36C1B" w:rsidRDefault="005E3B50">
          <w:pPr>
            <w:pStyle w:val="TM3"/>
            <w:tabs>
              <w:tab w:val="right" w:leader="dot" w:pos="8630"/>
            </w:tabs>
            <w:rPr>
              <w:rFonts w:eastAsiaTheme="minorEastAsia"/>
              <w:noProof/>
              <w:lang w:eastAsia="fr-CA"/>
            </w:rPr>
          </w:pPr>
          <w:hyperlink w:anchor="_Toc403383312" w:history="1">
            <w:r w:rsidR="00F36C1B" w:rsidRPr="00C64364">
              <w:rPr>
                <w:rStyle w:val="Lienhypertexte"/>
                <w:noProof/>
              </w:rPr>
              <w:t>4.3 La situation particulière de Montréal</w:t>
            </w:r>
            <w:r w:rsidR="00F36C1B">
              <w:rPr>
                <w:noProof/>
                <w:webHidden/>
              </w:rPr>
              <w:tab/>
            </w:r>
            <w:r w:rsidR="00F36C1B">
              <w:rPr>
                <w:noProof/>
                <w:webHidden/>
              </w:rPr>
              <w:fldChar w:fldCharType="begin"/>
            </w:r>
            <w:r w:rsidR="00F36C1B">
              <w:rPr>
                <w:noProof/>
                <w:webHidden/>
              </w:rPr>
              <w:instrText xml:space="preserve"> PAGEREF _Toc403383312 \h </w:instrText>
            </w:r>
            <w:r w:rsidR="00F36C1B">
              <w:rPr>
                <w:noProof/>
                <w:webHidden/>
              </w:rPr>
            </w:r>
            <w:r w:rsidR="00F36C1B">
              <w:rPr>
                <w:noProof/>
                <w:webHidden/>
              </w:rPr>
              <w:fldChar w:fldCharType="separate"/>
            </w:r>
            <w:r w:rsidR="00F36C1B">
              <w:rPr>
                <w:noProof/>
                <w:webHidden/>
              </w:rPr>
              <w:t>13</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13" w:history="1">
            <w:r w:rsidR="00F36C1B" w:rsidRPr="00C64364">
              <w:rPr>
                <w:rStyle w:val="Lienhypertexte"/>
                <w:noProof/>
              </w:rPr>
              <w:t>5. Aide aux organismes communautaires pour les activités de perfectionnement de leurs membres</w:t>
            </w:r>
            <w:r w:rsidR="00F36C1B">
              <w:rPr>
                <w:noProof/>
                <w:webHidden/>
              </w:rPr>
              <w:tab/>
            </w:r>
            <w:r w:rsidR="00F36C1B">
              <w:rPr>
                <w:noProof/>
                <w:webHidden/>
              </w:rPr>
              <w:fldChar w:fldCharType="begin"/>
            </w:r>
            <w:r w:rsidR="00F36C1B">
              <w:rPr>
                <w:noProof/>
                <w:webHidden/>
              </w:rPr>
              <w:instrText xml:space="preserve"> PAGEREF _Toc403383313 \h </w:instrText>
            </w:r>
            <w:r w:rsidR="00F36C1B">
              <w:rPr>
                <w:noProof/>
                <w:webHidden/>
              </w:rPr>
            </w:r>
            <w:r w:rsidR="00F36C1B">
              <w:rPr>
                <w:noProof/>
                <w:webHidden/>
              </w:rPr>
              <w:fldChar w:fldCharType="separate"/>
            </w:r>
            <w:r w:rsidR="00F36C1B">
              <w:rPr>
                <w:noProof/>
                <w:webHidden/>
              </w:rPr>
              <w:t>15</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14" w:history="1">
            <w:r w:rsidR="00F36C1B" w:rsidRPr="00C64364">
              <w:rPr>
                <w:rStyle w:val="Lienhypertexte"/>
                <w:noProof/>
              </w:rPr>
              <w:t>6. Rôle des regroupements régionaux</w:t>
            </w:r>
            <w:r w:rsidR="00F36C1B">
              <w:rPr>
                <w:noProof/>
                <w:webHidden/>
              </w:rPr>
              <w:tab/>
            </w:r>
            <w:r w:rsidR="00F36C1B">
              <w:rPr>
                <w:noProof/>
                <w:webHidden/>
              </w:rPr>
              <w:fldChar w:fldCharType="begin"/>
            </w:r>
            <w:r w:rsidR="00F36C1B">
              <w:rPr>
                <w:noProof/>
                <w:webHidden/>
              </w:rPr>
              <w:instrText xml:space="preserve"> PAGEREF _Toc403383314 \h </w:instrText>
            </w:r>
            <w:r w:rsidR="00F36C1B">
              <w:rPr>
                <w:noProof/>
                <w:webHidden/>
              </w:rPr>
            </w:r>
            <w:r w:rsidR="00F36C1B">
              <w:rPr>
                <w:noProof/>
                <w:webHidden/>
              </w:rPr>
              <w:fldChar w:fldCharType="separate"/>
            </w:r>
            <w:r w:rsidR="00F36C1B">
              <w:rPr>
                <w:noProof/>
                <w:webHidden/>
              </w:rPr>
              <w:t>16</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15" w:history="1">
            <w:r w:rsidR="00F36C1B" w:rsidRPr="00C64364">
              <w:rPr>
                <w:rStyle w:val="Lienhypertexte"/>
                <w:noProof/>
              </w:rPr>
              <w:t>En conclusion</w:t>
            </w:r>
            <w:r w:rsidR="00F36C1B">
              <w:rPr>
                <w:noProof/>
                <w:webHidden/>
              </w:rPr>
              <w:tab/>
            </w:r>
            <w:r w:rsidR="00F36C1B">
              <w:rPr>
                <w:noProof/>
                <w:webHidden/>
              </w:rPr>
              <w:fldChar w:fldCharType="begin"/>
            </w:r>
            <w:r w:rsidR="00F36C1B">
              <w:rPr>
                <w:noProof/>
                <w:webHidden/>
              </w:rPr>
              <w:instrText xml:space="preserve"> PAGEREF _Toc403383315 \h </w:instrText>
            </w:r>
            <w:r w:rsidR="00F36C1B">
              <w:rPr>
                <w:noProof/>
                <w:webHidden/>
              </w:rPr>
            </w:r>
            <w:r w:rsidR="00F36C1B">
              <w:rPr>
                <w:noProof/>
                <w:webHidden/>
              </w:rPr>
              <w:fldChar w:fldCharType="separate"/>
            </w:r>
            <w:r w:rsidR="00F36C1B">
              <w:rPr>
                <w:noProof/>
                <w:webHidden/>
              </w:rPr>
              <w:t>17</w:t>
            </w:r>
            <w:r w:rsidR="00F36C1B">
              <w:rPr>
                <w:noProof/>
                <w:webHidden/>
              </w:rPr>
              <w:fldChar w:fldCharType="end"/>
            </w:r>
          </w:hyperlink>
        </w:p>
        <w:p w:rsidR="00F36C1B" w:rsidRDefault="005E3B50">
          <w:pPr>
            <w:pStyle w:val="TM2"/>
            <w:tabs>
              <w:tab w:val="right" w:leader="dot" w:pos="8630"/>
            </w:tabs>
            <w:rPr>
              <w:rFonts w:eastAsiaTheme="minorEastAsia"/>
              <w:noProof/>
              <w:lang w:eastAsia="fr-CA"/>
            </w:rPr>
          </w:pPr>
          <w:hyperlink w:anchor="_Toc403383316" w:history="1">
            <w:r w:rsidR="00F36C1B" w:rsidRPr="00C64364">
              <w:rPr>
                <w:rStyle w:val="Lienhypertexte"/>
                <w:noProof/>
              </w:rPr>
              <w:t>Synthèse des recommandations</w:t>
            </w:r>
            <w:r w:rsidR="00F36C1B">
              <w:rPr>
                <w:noProof/>
                <w:webHidden/>
              </w:rPr>
              <w:tab/>
            </w:r>
            <w:r w:rsidR="00F36C1B">
              <w:rPr>
                <w:noProof/>
                <w:webHidden/>
              </w:rPr>
              <w:fldChar w:fldCharType="begin"/>
            </w:r>
            <w:r w:rsidR="00F36C1B">
              <w:rPr>
                <w:noProof/>
                <w:webHidden/>
              </w:rPr>
              <w:instrText xml:space="preserve"> PAGEREF _Toc403383316 \h </w:instrText>
            </w:r>
            <w:r w:rsidR="00F36C1B">
              <w:rPr>
                <w:noProof/>
                <w:webHidden/>
              </w:rPr>
            </w:r>
            <w:r w:rsidR="00F36C1B">
              <w:rPr>
                <w:noProof/>
                <w:webHidden/>
              </w:rPr>
              <w:fldChar w:fldCharType="separate"/>
            </w:r>
            <w:r w:rsidR="00F36C1B">
              <w:rPr>
                <w:noProof/>
                <w:webHidden/>
              </w:rPr>
              <w:t>18</w:t>
            </w:r>
            <w:r w:rsidR="00F36C1B">
              <w:rPr>
                <w:noProof/>
                <w:webHidden/>
              </w:rPr>
              <w:fldChar w:fldCharType="end"/>
            </w:r>
          </w:hyperlink>
        </w:p>
        <w:p w:rsidR="009C5FA6" w:rsidRDefault="001A0A1A">
          <w:r>
            <w:rPr>
              <w:b/>
              <w:bCs/>
              <w:lang w:val="fr-FR"/>
            </w:rPr>
            <w:fldChar w:fldCharType="end"/>
          </w:r>
        </w:p>
      </w:sdtContent>
    </w:sdt>
    <w:p w:rsidR="009C5FA6" w:rsidRDefault="009C5FA6">
      <w:pPr>
        <w:rPr>
          <w:rFonts w:asciiTheme="majorHAnsi" w:eastAsiaTheme="majorEastAsia" w:hAnsiTheme="majorHAnsi" w:cstheme="majorBidi"/>
          <w:b/>
          <w:bCs/>
          <w:color w:val="4F81BD" w:themeColor="accent1"/>
          <w:sz w:val="26"/>
          <w:szCs w:val="26"/>
        </w:rPr>
      </w:pPr>
      <w:r>
        <w:br w:type="page"/>
      </w:r>
    </w:p>
    <w:p w:rsidR="009C5FA6" w:rsidRDefault="009C5FA6" w:rsidP="009C5FA6">
      <w:pPr>
        <w:pStyle w:val="Titre2"/>
      </w:pPr>
      <w:bookmarkStart w:id="0" w:name="_Toc403383304"/>
      <w:r>
        <w:lastRenderedPageBreak/>
        <w:t>Présentation de la Coalition des tables régionales d’organismes communautaires</w:t>
      </w:r>
      <w:bookmarkEnd w:id="0"/>
    </w:p>
    <w:p w:rsidR="0080583E" w:rsidRPr="0080583E" w:rsidRDefault="0080583E" w:rsidP="0080583E"/>
    <w:p w:rsidR="009C5FA6" w:rsidRDefault="009C5FA6" w:rsidP="009C5FA6">
      <w:r>
        <w:t>La Coalition des tables régionales d’organismes communautaires (CTROC) réunit 14 regroupements régionaux d’organismes communautaires et représente des milliers d’organismes qui œuvrent majoritairement en santé et se</w:t>
      </w:r>
      <w:r w:rsidR="000B7E56">
        <w:t xml:space="preserve">rvices sociaux. La CTROC a </w:t>
      </w:r>
      <w:r>
        <w:t>comme mission d’analyser l’organisation du réseau public de la santé et des services sociaux et ses impacts sur la population et sur les organismes. Elle permet aux organismes communautaires en santé et en services sociau</w:t>
      </w:r>
      <w:r w:rsidR="0080583E">
        <w:t>x, tous secteurs d’intervention</w:t>
      </w:r>
      <w:r>
        <w:t xml:space="preserve"> confondus, d’avoir une instance nationale qui fait la promotion de leurs intérêts et de ceux des populations auprès desquelles ils interviennent. </w:t>
      </w:r>
    </w:p>
    <w:p w:rsidR="009C5FA6" w:rsidRDefault="009C5FA6" w:rsidP="009C5FA6">
      <w:r>
        <w:t>La CTROC est reconnue comme une interlocutrice importante du ministère de la Santé et des Services sociaux. Elle est membre du Réseau québécois de l’action communautaire autonome, de la Coalition Solidarité Santé et de la Coalition opposée à la tarification et à la privatisation des services publics.</w:t>
      </w:r>
    </w:p>
    <w:p w:rsidR="009C5FA6" w:rsidRDefault="009C5FA6" w:rsidP="009C5FA6"/>
    <w:p w:rsidR="009C5FA6" w:rsidRDefault="009C5FA6" w:rsidP="009C5FA6">
      <w:r>
        <w:br w:type="page"/>
      </w:r>
    </w:p>
    <w:p w:rsidR="00EF7F6D" w:rsidRDefault="00EF7F6D" w:rsidP="00EF7F6D">
      <w:pPr>
        <w:pStyle w:val="Titre2"/>
      </w:pPr>
      <w:bookmarkStart w:id="1" w:name="_Toc403383305"/>
      <w:r>
        <w:lastRenderedPageBreak/>
        <w:t>Introduction</w:t>
      </w:r>
      <w:bookmarkEnd w:id="1"/>
    </w:p>
    <w:p w:rsidR="00EF7F6D" w:rsidRDefault="00EF7F6D"/>
    <w:p w:rsidR="00345D1A" w:rsidRPr="000B406A" w:rsidRDefault="007405A5" w:rsidP="00345D1A">
      <w:r w:rsidRPr="00CF70B3">
        <w:t xml:space="preserve">Depuis la réforme Côté, les organismes communautaires ont </w:t>
      </w:r>
      <w:r w:rsidR="00CC15F8" w:rsidRPr="00CF70B3">
        <w:t>vu leur apport être reconnu</w:t>
      </w:r>
      <w:r w:rsidR="00B82196">
        <w:t xml:space="preserve"> par</w:t>
      </w:r>
      <w:r w:rsidR="0003188B" w:rsidRPr="00CF70B3">
        <w:t xml:space="preserve"> la LSSSS. Parallèlement, ils ont </w:t>
      </w:r>
      <w:r w:rsidRPr="00CF70B3">
        <w:t>dû faire preuve de vigilance à plusieurs reprises afin de protéger leur autonomie et leur spécificité</w:t>
      </w:r>
      <w:r w:rsidR="0003188B" w:rsidRPr="00CF70B3">
        <w:t xml:space="preserve">, </w:t>
      </w:r>
      <w:r w:rsidR="00B82196">
        <w:t xml:space="preserve">et </w:t>
      </w:r>
      <w:r w:rsidR="006B4B04" w:rsidRPr="00CF70B3">
        <w:t>afin que l’É</w:t>
      </w:r>
      <w:r w:rsidR="0003188B" w:rsidRPr="00CF70B3">
        <w:t xml:space="preserve">tat </w:t>
      </w:r>
      <w:r w:rsidR="006B4B04" w:rsidRPr="00CF70B3">
        <w:t xml:space="preserve">ne les </w:t>
      </w:r>
      <w:r w:rsidR="0003188B" w:rsidRPr="00CF70B3">
        <w:t>per</w:t>
      </w:r>
      <w:r w:rsidR="006B4B04" w:rsidRPr="00CF70B3">
        <w:t>çoive</w:t>
      </w:r>
      <w:r w:rsidR="0003188B" w:rsidRPr="00CF70B3">
        <w:t xml:space="preserve"> </w:t>
      </w:r>
      <w:r w:rsidR="006B4B04" w:rsidRPr="00CF70B3">
        <w:t>pas</w:t>
      </w:r>
      <w:r w:rsidR="0003188B" w:rsidRPr="00CF70B3">
        <w:t xml:space="preserve"> comme de simples dispensateurs de services sociaux</w:t>
      </w:r>
      <w:r w:rsidRPr="00CF70B3">
        <w:t xml:space="preserve">. </w:t>
      </w:r>
      <w:r w:rsidR="00CF70B3" w:rsidRPr="00CF70B3">
        <w:t>Depuis</w:t>
      </w:r>
      <w:r w:rsidR="00B82196">
        <w:t xml:space="preserve"> cette époque</w:t>
      </w:r>
      <w:r w:rsidR="00CF70B3" w:rsidRPr="00CF70B3">
        <w:t xml:space="preserve">, la </w:t>
      </w:r>
      <w:r w:rsidR="00B82196">
        <w:t>représentation</w:t>
      </w:r>
      <w:r w:rsidR="00CF70B3" w:rsidRPr="00CF70B3">
        <w:t xml:space="preserve"> du milieu communautaire et de la population </w:t>
      </w:r>
      <w:r w:rsidR="00B82196">
        <w:t xml:space="preserve">au sein des instances liées au réseau de la santé </w:t>
      </w:r>
      <w:r w:rsidR="00CF70B3" w:rsidRPr="00CF70B3">
        <w:t xml:space="preserve">s’est </w:t>
      </w:r>
      <w:r w:rsidR="00B82196">
        <w:t>toutefois trouvée régulièrement réduite</w:t>
      </w:r>
      <w:r w:rsidR="00CF70B3" w:rsidRPr="00CF70B3">
        <w:t xml:space="preserve">. </w:t>
      </w:r>
      <w:r w:rsidR="00345D1A" w:rsidRPr="00CF70B3">
        <w:t>Le projet de loi</w:t>
      </w:r>
      <w:r w:rsidR="005A1776">
        <w:t> </w:t>
      </w:r>
      <w:r w:rsidR="00345D1A" w:rsidRPr="00CF70B3">
        <w:t xml:space="preserve">10 introduit, une fois de plus, une nouvelle gouvernance dans le réseau de la </w:t>
      </w:r>
      <w:r w:rsidR="00B82196">
        <w:t>santé et des services sociaux qui</w:t>
      </w:r>
      <w:r w:rsidR="00345D1A" w:rsidRPr="00CF70B3">
        <w:t xml:space="preserve"> s</w:t>
      </w:r>
      <w:r w:rsidR="000B7E56">
        <w:t>’inscrit en continuité avec la l</w:t>
      </w:r>
      <w:r w:rsidR="00345D1A" w:rsidRPr="00CF70B3">
        <w:t>oi visant à améliorer la gestion du réseau de la santé et de services sociaux adopté</w:t>
      </w:r>
      <w:r w:rsidR="003F60D7">
        <w:t>e</w:t>
      </w:r>
      <w:r w:rsidR="00345D1A" w:rsidRPr="00CF70B3">
        <w:t xml:space="preserve"> en juin 2011.</w:t>
      </w:r>
    </w:p>
    <w:p w:rsidR="00345D1A" w:rsidRDefault="000B7E56" w:rsidP="007405A5">
      <w:r>
        <w:t>À la lecture du projet de l</w:t>
      </w:r>
      <w:r w:rsidR="007405A5" w:rsidRPr="000B406A">
        <w:t>oi</w:t>
      </w:r>
      <w:r w:rsidR="005A1776">
        <w:t> </w:t>
      </w:r>
      <w:r w:rsidR="007405A5" w:rsidRPr="000B406A">
        <w:t xml:space="preserve">10, la CTROC </w:t>
      </w:r>
      <w:r w:rsidR="00B82196">
        <w:t>est</w:t>
      </w:r>
      <w:r w:rsidR="007405A5" w:rsidRPr="000B406A">
        <w:t xml:space="preserve"> </w:t>
      </w:r>
      <w:r w:rsidR="00B82196">
        <w:t xml:space="preserve">grandement </w:t>
      </w:r>
      <w:r w:rsidR="007405A5" w:rsidRPr="000B406A">
        <w:t>préoccupé</w:t>
      </w:r>
      <w:r w:rsidR="00345D1A">
        <w:t>e</w:t>
      </w:r>
      <w:r w:rsidR="007405A5" w:rsidRPr="000B406A">
        <w:t xml:space="preserve"> </w:t>
      </w:r>
      <w:r w:rsidR="00B82196">
        <w:t xml:space="preserve">et </w:t>
      </w:r>
      <w:r w:rsidR="00D2572A">
        <w:t>garde</w:t>
      </w:r>
      <w:r w:rsidR="00B82196">
        <w:t xml:space="preserve"> plusieurs questionnement</w:t>
      </w:r>
      <w:r w:rsidR="00D2572A">
        <w:t>s</w:t>
      </w:r>
      <w:r w:rsidR="00B82196">
        <w:t xml:space="preserve"> concernant diver</w:t>
      </w:r>
      <w:r w:rsidR="007405A5" w:rsidRPr="000B406A">
        <w:t xml:space="preserve">s </w:t>
      </w:r>
      <w:r w:rsidR="00B82196">
        <w:t>aspects de ce projet de l</w:t>
      </w:r>
      <w:r w:rsidR="00345D1A">
        <w:t>oi.</w:t>
      </w:r>
      <w:r w:rsidR="007405A5" w:rsidRPr="000B406A">
        <w:t xml:space="preserve"> </w:t>
      </w:r>
      <w:r w:rsidR="007F19F6">
        <w:t>Nou</w:t>
      </w:r>
      <w:r w:rsidR="00821570">
        <w:t>s</w:t>
      </w:r>
      <w:r w:rsidR="007F19F6">
        <w:t xml:space="preserve"> </w:t>
      </w:r>
      <w:r w:rsidR="00821570">
        <w:t xml:space="preserve">sommes </w:t>
      </w:r>
      <w:r w:rsidR="00CC15F8">
        <w:t>sceptique</w:t>
      </w:r>
      <w:r w:rsidR="007F19F6">
        <w:t>s</w:t>
      </w:r>
      <w:r w:rsidR="00CC15F8">
        <w:t xml:space="preserve"> </w:t>
      </w:r>
      <w:r w:rsidR="00D2572A">
        <w:t>quant aux</w:t>
      </w:r>
      <w:r w:rsidR="00345D1A">
        <w:t xml:space="preserve"> gains</w:t>
      </w:r>
      <w:r w:rsidR="0003188B" w:rsidRPr="000B406A">
        <w:t xml:space="preserve"> </w:t>
      </w:r>
      <w:r w:rsidR="00345D1A">
        <w:t xml:space="preserve">possibles émanant </w:t>
      </w:r>
      <w:r w:rsidR="0003188B" w:rsidRPr="000B406A">
        <w:t xml:space="preserve">d’une telle réforme et </w:t>
      </w:r>
      <w:r w:rsidR="00821570">
        <w:t xml:space="preserve">nous nous </w:t>
      </w:r>
      <w:r w:rsidR="00B82196" w:rsidRPr="000B406A">
        <w:t>inquiét</w:t>
      </w:r>
      <w:r w:rsidR="00B82196">
        <w:t>ons</w:t>
      </w:r>
      <w:r w:rsidR="0003188B" w:rsidRPr="000B406A">
        <w:t xml:space="preserve"> des dérives possibles </w:t>
      </w:r>
      <w:r w:rsidR="00345D1A">
        <w:t xml:space="preserve">pouvant en découler. </w:t>
      </w:r>
    </w:p>
    <w:p w:rsidR="007405A5" w:rsidRPr="00345D1A" w:rsidRDefault="00345D1A" w:rsidP="007405A5">
      <w:r>
        <w:t xml:space="preserve">En plus </w:t>
      </w:r>
      <w:r w:rsidR="00821570">
        <w:t xml:space="preserve">d’avoir de grandes craintes quant </w:t>
      </w:r>
      <w:r>
        <w:t>à l</w:t>
      </w:r>
      <w:r w:rsidR="00B82196">
        <w:t xml:space="preserve">’importance </w:t>
      </w:r>
      <w:r w:rsidR="00821570">
        <w:t>qui sera accordée à la</w:t>
      </w:r>
      <w:r>
        <w:t xml:space="preserve"> prévention et aux services sociaux dans la nouvelle structure, de mêm</w:t>
      </w:r>
      <w:r w:rsidR="00CF70B3">
        <w:t>e qu</w:t>
      </w:r>
      <w:r w:rsidR="00B82196">
        <w:t xml:space="preserve">’à la place </w:t>
      </w:r>
      <w:r w:rsidR="00CF70B3">
        <w:t>réservée à la population et</w:t>
      </w:r>
      <w:r>
        <w:t xml:space="preserve"> aux organismes communautaires</w:t>
      </w:r>
      <w:r w:rsidR="00B82196">
        <w:t xml:space="preserve"> au sein des décisions</w:t>
      </w:r>
      <w:r>
        <w:t xml:space="preserve">, </w:t>
      </w:r>
      <w:r w:rsidR="00821570">
        <w:t xml:space="preserve">nous sommes </w:t>
      </w:r>
      <w:r>
        <w:t>étonné</w:t>
      </w:r>
      <w:r w:rsidR="00821570">
        <w:t>s</w:t>
      </w:r>
      <w:r>
        <w:t xml:space="preserve"> de découvrir l</w:t>
      </w:r>
      <w:r w:rsidR="00CC15F8">
        <w:t>’ampleur des</w:t>
      </w:r>
      <w:r>
        <w:t xml:space="preserve"> pouvoir</w:t>
      </w:r>
      <w:r w:rsidR="005A1776">
        <w:t xml:space="preserve">s </w:t>
      </w:r>
      <w:r>
        <w:t>du ministre</w:t>
      </w:r>
      <w:r w:rsidR="00511A1A">
        <w:t>. I</w:t>
      </w:r>
      <w:r w:rsidR="0003188B" w:rsidRPr="00345D1A">
        <w:t xml:space="preserve">l est </w:t>
      </w:r>
      <w:r w:rsidR="006B4B04" w:rsidRPr="00345D1A">
        <w:t xml:space="preserve">d’ailleurs </w:t>
      </w:r>
      <w:r w:rsidR="0003188B" w:rsidRPr="00345D1A">
        <w:t xml:space="preserve">important de préciser que la CTROC souscrit </w:t>
      </w:r>
      <w:r>
        <w:t>au mémoire</w:t>
      </w:r>
      <w:r w:rsidR="0003188B" w:rsidRPr="00345D1A">
        <w:t xml:space="preserve"> de la Coalition solidarité santé</w:t>
      </w:r>
      <w:r w:rsidR="000B7E56">
        <w:t>,</w:t>
      </w:r>
      <w:r w:rsidR="0003188B" w:rsidRPr="00345D1A">
        <w:t xml:space="preserve"> </w:t>
      </w:r>
      <w:r w:rsidR="000B7E56">
        <w:t>ainsi qu’à</w:t>
      </w:r>
      <w:r>
        <w:t xml:space="preserve"> celui produit par</w:t>
      </w:r>
      <w:r w:rsidR="0003188B" w:rsidRPr="00345D1A">
        <w:t xml:space="preserve"> Damien </w:t>
      </w:r>
      <w:proofErr w:type="spellStart"/>
      <w:r w:rsidR="0003188B" w:rsidRPr="00345D1A">
        <w:t>Cont</w:t>
      </w:r>
      <w:r w:rsidR="008A0EF6" w:rsidRPr="00345D1A">
        <w:t>a</w:t>
      </w:r>
      <w:r w:rsidR="000B7E56">
        <w:t>ndriopoulos</w:t>
      </w:r>
      <w:proofErr w:type="spellEnd"/>
      <w:r w:rsidR="000B7E56">
        <w:t xml:space="preserve"> </w:t>
      </w:r>
      <w:r w:rsidR="0003188B" w:rsidRPr="00345D1A">
        <w:t>à cette Commission</w:t>
      </w:r>
      <w:r w:rsidR="000B7E56">
        <w:t>, relativement au projet de l</w:t>
      </w:r>
      <w:r w:rsidR="0003188B" w:rsidRPr="00345D1A">
        <w:t>oi</w:t>
      </w:r>
      <w:r w:rsidR="005A1776">
        <w:t> </w:t>
      </w:r>
      <w:r w:rsidR="0003188B" w:rsidRPr="00345D1A">
        <w:t>10,</w:t>
      </w:r>
      <w:r w:rsidR="00CC15F8">
        <w:t xml:space="preserve"> notamment à propos</w:t>
      </w:r>
      <w:r w:rsidR="0003188B" w:rsidRPr="00345D1A">
        <w:t xml:space="preserve"> </w:t>
      </w:r>
      <w:r w:rsidR="00CC15F8">
        <w:t>d</w:t>
      </w:r>
      <w:r w:rsidR="0003188B" w:rsidRPr="00345D1A">
        <w:t xml:space="preserve">es objectifs qu’on prétend atteindre et </w:t>
      </w:r>
      <w:r w:rsidR="00B82196">
        <w:t xml:space="preserve">de </w:t>
      </w:r>
      <w:r w:rsidR="0003188B" w:rsidRPr="00345D1A">
        <w:t>l</w:t>
      </w:r>
      <w:r w:rsidR="00241D0F">
        <w:t>a perturbation qu</w:t>
      </w:r>
      <w:r w:rsidR="000B7E56">
        <w:t>e la l</w:t>
      </w:r>
      <w:r w:rsidR="00B82196">
        <w:t>oi</w:t>
      </w:r>
      <w:r w:rsidR="00241D0F">
        <w:t xml:space="preserve"> risque de créer</w:t>
      </w:r>
      <w:r w:rsidR="00CF70B3">
        <w:t>.</w:t>
      </w:r>
    </w:p>
    <w:p w:rsidR="00BA7220" w:rsidRPr="00241D0F" w:rsidRDefault="00821570">
      <w:r>
        <w:t xml:space="preserve">Néanmoins, </w:t>
      </w:r>
      <w:r w:rsidR="0003188B" w:rsidRPr="00241D0F">
        <w:t>l</w:t>
      </w:r>
      <w:r w:rsidR="00CC15F8" w:rsidRPr="00241D0F">
        <w:t>a CTROC</w:t>
      </w:r>
      <w:r w:rsidR="00511A1A">
        <w:t xml:space="preserve"> </w:t>
      </w:r>
      <w:r>
        <w:t xml:space="preserve">a choisi de formuler </w:t>
      </w:r>
      <w:r w:rsidR="00CF70B3" w:rsidRPr="00241D0F">
        <w:t>certaines</w:t>
      </w:r>
      <w:r w:rsidR="00CC15F8" w:rsidRPr="00241D0F">
        <w:t xml:space="preserve"> recommandation</w:t>
      </w:r>
      <w:r w:rsidR="00CF70B3" w:rsidRPr="00241D0F">
        <w:t>s</w:t>
      </w:r>
      <w:r w:rsidR="00CC15F8" w:rsidRPr="00241D0F">
        <w:t xml:space="preserve"> qui</w:t>
      </w:r>
      <w:r w:rsidR="00B82196">
        <w:t>,</w:t>
      </w:r>
      <w:r w:rsidR="00CC15F8" w:rsidRPr="00241D0F">
        <w:t xml:space="preserve"> selon elle,</w:t>
      </w:r>
      <w:r w:rsidR="00CF70B3" w:rsidRPr="00241D0F">
        <w:t xml:space="preserve"> sont in</w:t>
      </w:r>
      <w:r w:rsidR="0003188B" w:rsidRPr="00241D0F">
        <w:t>contournables</w:t>
      </w:r>
      <w:r>
        <w:t>.</w:t>
      </w:r>
    </w:p>
    <w:p w:rsidR="00EF7F6D" w:rsidRPr="007405A5" w:rsidRDefault="00EF7F6D">
      <w:pPr>
        <w:rPr>
          <w:i/>
          <w:color w:val="669900"/>
        </w:rPr>
      </w:pPr>
      <w:r w:rsidRPr="007405A5">
        <w:rPr>
          <w:i/>
          <w:color w:val="669900"/>
        </w:rPr>
        <w:br w:type="page"/>
      </w:r>
    </w:p>
    <w:p w:rsidR="00501A96" w:rsidRDefault="00A03133" w:rsidP="00501A96">
      <w:pPr>
        <w:pStyle w:val="Titre2"/>
      </w:pPr>
      <w:bookmarkStart w:id="2" w:name="_Toc403383306"/>
      <w:r>
        <w:lastRenderedPageBreak/>
        <w:t xml:space="preserve">1. </w:t>
      </w:r>
      <w:r w:rsidR="00501A96">
        <w:t>La place des services sociaux et de la prévention</w:t>
      </w:r>
      <w:bookmarkEnd w:id="2"/>
    </w:p>
    <w:p w:rsidR="00501A96" w:rsidRDefault="00501A96"/>
    <w:p w:rsidR="00D315C0" w:rsidRDefault="000B7E56">
      <w:r>
        <w:t>Le projet de l</w:t>
      </w:r>
      <w:r w:rsidR="00501A96">
        <w:t>oi</w:t>
      </w:r>
      <w:r w:rsidR="005A1776">
        <w:t> </w:t>
      </w:r>
      <w:r w:rsidR="00501A96">
        <w:t>10 prévoit la fusion de l’ensemble des établissements du domaine de la santé et des services sociaux</w:t>
      </w:r>
      <w:r w:rsidR="0003188B">
        <w:t>, dont plusieurs ayant des missions très différentes</w:t>
      </w:r>
      <w:r w:rsidR="00501A96">
        <w:t>.</w:t>
      </w:r>
      <w:r w:rsidR="0003188B">
        <w:t xml:space="preserve"> La CTROC s’inquiète fortement des dérives possibles que pourrait entraîner une telle fusion, dont la diminution des ressources allouées </w:t>
      </w:r>
      <w:r w:rsidR="00D315C0">
        <w:t>aux servi</w:t>
      </w:r>
      <w:r w:rsidR="00CC15F8">
        <w:t>ces sociaux et à la prévention.</w:t>
      </w:r>
    </w:p>
    <w:p w:rsidR="001B30E0" w:rsidRPr="001B30E0" w:rsidRDefault="001B30E0">
      <w:r w:rsidRPr="001B30E0">
        <w:t xml:space="preserve">Lorsque les conseils d’administration </w:t>
      </w:r>
      <w:r w:rsidR="000B7E56">
        <w:t xml:space="preserve">des CISSS </w:t>
      </w:r>
      <w:r w:rsidRPr="001B30E0">
        <w:t xml:space="preserve">seront confrontés </w:t>
      </w:r>
      <w:r w:rsidR="00B93A63">
        <w:t xml:space="preserve">à des choix budgétaires, quelles dépenses </w:t>
      </w:r>
      <w:proofErr w:type="spellStart"/>
      <w:r w:rsidR="00345C69">
        <w:t>diminueront-ils</w:t>
      </w:r>
      <w:proofErr w:type="spellEnd"/>
      <w:r w:rsidRPr="001B30E0">
        <w:t xml:space="preserve"> en premier</w:t>
      </w:r>
      <w:r w:rsidR="00B93A63">
        <w:t>, outre l’administration</w:t>
      </w:r>
      <w:r w:rsidR="005A1776">
        <w:t>?</w:t>
      </w:r>
      <w:r w:rsidR="00821570">
        <w:t xml:space="preserve"> Nous </w:t>
      </w:r>
      <w:r w:rsidR="00D2572A">
        <w:t>craign</w:t>
      </w:r>
      <w:r w:rsidR="00821570">
        <w:t xml:space="preserve">ons fortement que les programmes voués à la prévention arrivent </w:t>
      </w:r>
      <w:r w:rsidR="00D2572A">
        <w:t xml:space="preserve">en </w:t>
      </w:r>
      <w:r w:rsidR="00821570">
        <w:t xml:space="preserve">deuxième face aux besoins </w:t>
      </w:r>
      <w:r w:rsidR="000B7E56">
        <w:t>des</w:t>
      </w:r>
      <w:r w:rsidR="00821570">
        <w:t xml:space="preserve"> centre</w:t>
      </w:r>
      <w:r w:rsidR="000B7E56">
        <w:t>s</w:t>
      </w:r>
      <w:r w:rsidR="00821570">
        <w:t xml:space="preserve"> </w:t>
      </w:r>
      <w:r w:rsidR="00345C69">
        <w:t>hospitalier</w:t>
      </w:r>
      <w:r w:rsidR="000B7E56">
        <w:t>s</w:t>
      </w:r>
      <w:r w:rsidR="00821570">
        <w:t>.</w:t>
      </w:r>
      <w:r w:rsidR="00B93A63">
        <w:t xml:space="preserve"> </w:t>
      </w:r>
    </w:p>
    <w:p w:rsidR="00D315C0" w:rsidRPr="00AA5187" w:rsidRDefault="00821570">
      <w:r w:rsidRPr="00BE180E">
        <w:t xml:space="preserve">À cet effet, </w:t>
      </w:r>
      <w:r w:rsidR="00345C69" w:rsidRPr="00BE180E">
        <w:t>rappelons</w:t>
      </w:r>
      <w:r w:rsidRPr="00BE180E">
        <w:t xml:space="preserve"> que d</w:t>
      </w:r>
      <w:r w:rsidR="001B30E0" w:rsidRPr="00BE180E">
        <w:t xml:space="preserve">epuis la </w:t>
      </w:r>
      <w:r w:rsidR="00D2572A" w:rsidRPr="00BE180E">
        <w:t>création</w:t>
      </w:r>
      <w:r w:rsidR="001B30E0" w:rsidRPr="00BE180E">
        <w:t xml:space="preserve"> des CSSS, </w:t>
      </w:r>
      <w:r w:rsidRPr="00BE180E">
        <w:t xml:space="preserve">des budgets initialement destinés aux soins à domicile (CLSC) ont été réaffectés à la mission hospitalière, ce qui a occasionné un manque à gagner dans la livraison des soins à domicile. Ainsi, </w:t>
      </w:r>
      <w:r w:rsidR="001B30E0" w:rsidRPr="00BE180E">
        <w:t>de nouvelles responsabilités se sont retrouvées entre les mains des professionnels en services sociaux, sans rehaussement de leurs budget</w:t>
      </w:r>
      <w:r w:rsidR="00AA5187" w:rsidRPr="00BE180E">
        <w:t>s</w:t>
      </w:r>
      <w:r w:rsidR="00D2572A" w:rsidRPr="00BE180E">
        <w:t>.</w:t>
      </w:r>
      <w:r w:rsidR="00D7218B" w:rsidRPr="00BE180E">
        <w:t xml:space="preserve"> La préoccupation que nous avons ne repose pas</w:t>
      </w:r>
      <w:r w:rsidR="000B7E56" w:rsidRPr="00BE180E">
        <w:t xml:space="preserve"> sur des articles précis de la l</w:t>
      </w:r>
      <w:r w:rsidR="00D7218B" w:rsidRPr="00BE180E">
        <w:t>oi</w:t>
      </w:r>
      <w:r w:rsidR="005A1776" w:rsidRPr="00BE180E">
        <w:t> </w:t>
      </w:r>
      <w:r w:rsidR="00D7218B" w:rsidRPr="00BE180E">
        <w:t>10, mais sur les</w:t>
      </w:r>
      <w:r w:rsidR="000B7E56" w:rsidRPr="00BE180E">
        <w:t xml:space="preserve"> dommages collatéraux de la loi</w:t>
      </w:r>
      <w:r w:rsidR="00D7218B" w:rsidRPr="00BE180E">
        <w:t xml:space="preserve"> en période de compressions budgétaires, alors que les services sociaux et la prévention deviendront fragilisés face à la mission hospitalière.</w:t>
      </w:r>
    </w:p>
    <w:p w:rsidR="007566A9" w:rsidRDefault="00D315C0">
      <w:r>
        <w:t xml:space="preserve">Il est clair pour nous que la mission </w:t>
      </w:r>
      <w:r w:rsidR="007566A9">
        <w:t>préventive et celle relative aux services sociaux doi</w:t>
      </w:r>
      <w:r w:rsidR="00CC15F8">
        <w:t>ven</w:t>
      </w:r>
      <w:r w:rsidR="007566A9">
        <w:t xml:space="preserve">t être </w:t>
      </w:r>
      <w:r w:rsidR="001B30E0">
        <w:t>protégé</w:t>
      </w:r>
      <w:r w:rsidR="007566A9">
        <w:t>e</w:t>
      </w:r>
      <w:r w:rsidR="00CC15F8">
        <w:t>s</w:t>
      </w:r>
      <w:r w:rsidR="007566A9">
        <w:t>, sans quoi l</w:t>
      </w:r>
      <w:r w:rsidR="00CC15F8">
        <w:t>’ensemble des acteurs œuvrant en santé et services sociaux en ser</w:t>
      </w:r>
      <w:r w:rsidR="005A1776">
        <w:t>a</w:t>
      </w:r>
      <w:r w:rsidR="007566A9">
        <w:t xml:space="preserve"> grandement affecté. </w:t>
      </w:r>
      <w:r w:rsidR="00D2572A">
        <w:t xml:space="preserve">Il y a aussi plusieurs raisons de croire </w:t>
      </w:r>
      <w:r w:rsidR="00386759">
        <w:t>qu’une</w:t>
      </w:r>
      <w:r w:rsidR="00D2572A">
        <w:t xml:space="preserve"> baisse des investissements en prévention entrainera un surplus de coûts pour les soins curatifs, de nombreuses études ayant démontré les économies générées par les approches préventives.</w:t>
      </w:r>
    </w:p>
    <w:p w:rsidR="000B7E56" w:rsidRDefault="000B7E56"/>
    <w:p w:rsidR="00ED03E4" w:rsidRDefault="006B4B04" w:rsidP="00695FAA">
      <w:pPr>
        <w:pBdr>
          <w:top w:val="single" w:sz="4" w:space="1" w:color="auto"/>
          <w:left w:val="single" w:sz="4" w:space="4" w:color="auto"/>
          <w:bottom w:val="single" w:sz="4" w:space="1" w:color="auto"/>
          <w:right w:val="single" w:sz="4" w:space="4" w:color="auto"/>
        </w:pBdr>
        <w:rPr>
          <w:b/>
        </w:rPr>
      </w:pPr>
      <w:r>
        <w:rPr>
          <w:b/>
        </w:rPr>
        <w:t>R</w:t>
      </w:r>
      <w:r w:rsidR="00ED03E4">
        <w:rPr>
          <w:b/>
        </w:rPr>
        <w:t>ecommandation</w:t>
      </w:r>
      <w:r w:rsidR="005A1776">
        <w:rPr>
          <w:b/>
        </w:rPr>
        <w:t> </w:t>
      </w:r>
      <w:r w:rsidR="00ED03E4">
        <w:rPr>
          <w:b/>
        </w:rPr>
        <w:t>1</w:t>
      </w:r>
      <w:r>
        <w:rPr>
          <w:b/>
        </w:rPr>
        <w:t xml:space="preserve"> </w:t>
      </w:r>
    </w:p>
    <w:p w:rsidR="00256765" w:rsidRDefault="00ED03E4" w:rsidP="00695FAA">
      <w:pPr>
        <w:pBdr>
          <w:top w:val="single" w:sz="4" w:space="1" w:color="auto"/>
          <w:left w:val="single" w:sz="4" w:space="4" w:color="auto"/>
          <w:bottom w:val="single" w:sz="4" w:space="1" w:color="auto"/>
          <w:right w:val="single" w:sz="4" w:space="4" w:color="auto"/>
        </w:pBdr>
        <w:rPr>
          <w:b/>
        </w:rPr>
      </w:pPr>
      <w:r>
        <w:rPr>
          <w:b/>
        </w:rPr>
        <w:t>N</w:t>
      </w:r>
      <w:r w:rsidR="007566A9" w:rsidRPr="007566A9">
        <w:rPr>
          <w:b/>
        </w:rPr>
        <w:t xml:space="preserve">ous recommandons </w:t>
      </w:r>
      <w:r w:rsidR="00256765">
        <w:rPr>
          <w:b/>
        </w:rPr>
        <w:t xml:space="preserve">de prévoir un mécanisme pour protéger les </w:t>
      </w:r>
      <w:r w:rsidR="001B30E0">
        <w:rPr>
          <w:b/>
        </w:rPr>
        <w:t>ressources et les budget</w:t>
      </w:r>
      <w:r w:rsidR="00256765">
        <w:rPr>
          <w:b/>
        </w:rPr>
        <w:t>s consent</w:t>
      </w:r>
      <w:r w:rsidR="006954A1">
        <w:rPr>
          <w:b/>
        </w:rPr>
        <w:t>is à la mission préventive et aux</w:t>
      </w:r>
      <w:r w:rsidR="00256765">
        <w:rPr>
          <w:b/>
        </w:rPr>
        <w:t xml:space="preserve"> services sociaux du réseau de la santé et des services sociaux</w:t>
      </w:r>
      <w:r w:rsidR="006954A1">
        <w:rPr>
          <w:b/>
        </w:rPr>
        <w:t>,</w:t>
      </w:r>
      <w:r w:rsidR="003F60D7">
        <w:rPr>
          <w:b/>
        </w:rPr>
        <w:t xml:space="preserve"> et un</w:t>
      </w:r>
      <w:r w:rsidR="00256765">
        <w:rPr>
          <w:b/>
        </w:rPr>
        <w:t xml:space="preserve"> accès équitable </w:t>
      </w:r>
      <w:r w:rsidR="003F60D7">
        <w:rPr>
          <w:b/>
        </w:rPr>
        <w:t xml:space="preserve">pour ces missions </w:t>
      </w:r>
      <w:r w:rsidR="00256765">
        <w:rPr>
          <w:b/>
        </w:rPr>
        <w:t>aux nouveaux budgets alloués</w:t>
      </w:r>
      <w:r w:rsidR="006954A1">
        <w:rPr>
          <w:b/>
        </w:rPr>
        <w:t>,</w:t>
      </w:r>
      <w:r w:rsidR="00256765">
        <w:rPr>
          <w:b/>
        </w:rPr>
        <w:t xml:space="preserve"> le cas échéant. </w:t>
      </w:r>
    </w:p>
    <w:p w:rsidR="006B4B04" w:rsidRDefault="006B4B04">
      <w:pPr>
        <w:rPr>
          <w:rFonts w:asciiTheme="majorHAnsi" w:eastAsiaTheme="majorEastAsia" w:hAnsiTheme="majorHAnsi" w:cstheme="majorBidi"/>
          <w:b/>
          <w:bCs/>
          <w:color w:val="4F81BD" w:themeColor="accent1"/>
          <w:sz w:val="26"/>
          <w:szCs w:val="26"/>
          <w:highlight w:val="yellow"/>
        </w:rPr>
      </w:pPr>
      <w:r>
        <w:rPr>
          <w:highlight w:val="yellow"/>
        </w:rPr>
        <w:br w:type="page"/>
      </w:r>
    </w:p>
    <w:p w:rsidR="0038621D" w:rsidRDefault="00A03133" w:rsidP="009A5BC9">
      <w:pPr>
        <w:pStyle w:val="Titre2"/>
        <w:spacing w:after="240"/>
      </w:pPr>
      <w:bookmarkStart w:id="3" w:name="_Toc403383307"/>
      <w:r>
        <w:lastRenderedPageBreak/>
        <w:t xml:space="preserve">2. </w:t>
      </w:r>
      <w:r w:rsidR="0038621D">
        <w:t>L’</w:t>
      </w:r>
      <w:r>
        <w:t>élargissement des pouvoirs du ministre</w:t>
      </w:r>
      <w:bookmarkEnd w:id="3"/>
    </w:p>
    <w:p w:rsidR="0038621D" w:rsidRDefault="0038621D" w:rsidP="0038621D">
      <w:r>
        <w:t xml:space="preserve">Comme plusieurs autres acteurs, nous sommes particulièrement préoccupés par l’ampleur des pouvoirs </w:t>
      </w:r>
      <w:r w:rsidR="009A5BC9">
        <w:t>dévolus au</w:t>
      </w:r>
      <w:r>
        <w:t xml:space="preserve"> ministre </w:t>
      </w:r>
      <w:r w:rsidR="000B7E56">
        <w:t xml:space="preserve">de la Santé et des Services sociaux </w:t>
      </w:r>
      <w:r w:rsidR="009A5BC9">
        <w:t>par</w:t>
      </w:r>
      <w:r w:rsidR="000B7E56">
        <w:t xml:space="preserve"> le projet de l</w:t>
      </w:r>
      <w:r>
        <w:t xml:space="preserve">oi. Cette situation pose certains problèmes à notre avis. </w:t>
      </w:r>
    </w:p>
    <w:p w:rsidR="000A0C05" w:rsidRPr="00BE180E" w:rsidRDefault="0038621D" w:rsidP="000A0C05">
      <w:r w:rsidRPr="00BE180E">
        <w:t xml:space="preserve">Premièrement, </w:t>
      </w:r>
      <w:r w:rsidR="00D2572A" w:rsidRPr="00BE180E">
        <w:t>à la lecture d</w:t>
      </w:r>
      <w:r w:rsidR="000A0C05" w:rsidRPr="00BE180E">
        <w:t>es différents articles du projet de loi</w:t>
      </w:r>
      <w:r w:rsidR="005A1776" w:rsidRPr="00BE180E">
        <w:t> </w:t>
      </w:r>
      <w:r w:rsidR="000A0C05" w:rsidRPr="00BE180E">
        <w:t xml:space="preserve">10, nous craignons une </w:t>
      </w:r>
      <w:r w:rsidRPr="00BE180E">
        <w:t>politisation du réseau de la santé et des services sociaux</w:t>
      </w:r>
      <w:r w:rsidR="000A0C05" w:rsidRPr="00BE180E">
        <w:rPr>
          <w:rStyle w:val="Appelnotedebasdep"/>
        </w:rPr>
        <w:footnoteReference w:id="1"/>
      </w:r>
      <w:r w:rsidR="000A0C05" w:rsidRPr="00BE180E">
        <w:t xml:space="preserve">. </w:t>
      </w:r>
    </w:p>
    <w:p w:rsidR="0001265E" w:rsidRPr="00BE180E" w:rsidRDefault="006F7D00" w:rsidP="0001265E">
      <w:r w:rsidRPr="00BE180E">
        <w:t xml:space="preserve">Nous nous inquiétons notamment des </w:t>
      </w:r>
      <w:r w:rsidR="00D2572A" w:rsidRPr="00BE180E">
        <w:t>pouvoirs de nomination</w:t>
      </w:r>
      <w:r w:rsidR="000B7E56" w:rsidRPr="00BE180E">
        <w:t xml:space="preserve"> octroyés au m</w:t>
      </w:r>
      <w:r w:rsidRPr="00BE180E">
        <w:t>inistre. Les risques de nomination</w:t>
      </w:r>
      <w:r w:rsidR="007F19F6" w:rsidRPr="00BE180E">
        <w:t>s</w:t>
      </w:r>
      <w:r w:rsidRPr="00BE180E">
        <w:t xml:space="preserve"> partisane</w:t>
      </w:r>
      <w:r w:rsidR="007F19F6" w:rsidRPr="00BE180E">
        <w:t>s</w:t>
      </w:r>
      <w:r w:rsidRPr="00BE180E">
        <w:t xml:space="preserve"> sont bien présent</w:t>
      </w:r>
      <w:r w:rsidR="00D2572A" w:rsidRPr="00BE180E">
        <w:t>s</w:t>
      </w:r>
      <w:r w:rsidRPr="00BE180E">
        <w:t xml:space="preserve"> et ce, peu importe le parti qui devra gouverner une fois la loi adoptée.</w:t>
      </w:r>
      <w:r w:rsidR="00F75EC3" w:rsidRPr="00BE180E">
        <w:t xml:space="preserve"> </w:t>
      </w:r>
      <w:r w:rsidR="0001265E" w:rsidRPr="00BE180E">
        <w:t>L</w:t>
      </w:r>
      <w:r w:rsidR="00F75EC3" w:rsidRPr="00BE180E">
        <w:t>es décisions</w:t>
      </w:r>
      <w:r w:rsidR="0001265E" w:rsidRPr="00BE180E">
        <w:t xml:space="preserve"> </w:t>
      </w:r>
      <w:r w:rsidR="00D12D29" w:rsidRPr="00BE180E">
        <w:t>des établissements</w:t>
      </w:r>
      <w:r w:rsidR="00F75EC3" w:rsidRPr="00BE180E">
        <w:t xml:space="preserve"> seron</w:t>
      </w:r>
      <w:r w:rsidR="0001265E" w:rsidRPr="00BE180E">
        <w:t>t-elle</w:t>
      </w:r>
      <w:r w:rsidR="00F75EC3" w:rsidRPr="00BE180E">
        <w:t>s</w:t>
      </w:r>
      <w:r w:rsidR="0001265E" w:rsidRPr="00BE180E">
        <w:t xml:space="preserve"> dictée</w:t>
      </w:r>
      <w:r w:rsidR="00F75EC3" w:rsidRPr="00BE180E">
        <w:t>s uniquement</w:t>
      </w:r>
      <w:r w:rsidR="0001265E" w:rsidRPr="00BE180E">
        <w:t xml:space="preserve"> par </w:t>
      </w:r>
      <w:r w:rsidR="00F75EC3" w:rsidRPr="00BE180E">
        <w:t>les orientations du</w:t>
      </w:r>
      <w:r w:rsidR="0001265E" w:rsidRPr="00BE180E">
        <w:t xml:space="preserve"> parti au pouvoir?</w:t>
      </w:r>
      <w:r w:rsidR="007F19F6" w:rsidRPr="00BE180E">
        <w:t xml:space="preserve"> </w:t>
      </w:r>
    </w:p>
    <w:p w:rsidR="0001265E" w:rsidRDefault="0001265E" w:rsidP="0001265E">
      <w:r w:rsidRPr="00BE180E">
        <w:t xml:space="preserve">De plus, </w:t>
      </w:r>
      <w:r w:rsidR="007F19F6" w:rsidRPr="00BE180E">
        <w:t>quelle liberté aura le conseil d’administration d’un établissement régional alors que les orientations s</w:t>
      </w:r>
      <w:r w:rsidR="00F75EC3" w:rsidRPr="00BE180E">
        <w:t>er</w:t>
      </w:r>
      <w:r w:rsidR="007F19F6" w:rsidRPr="00BE180E">
        <w:t xml:space="preserve">ont </w:t>
      </w:r>
      <w:r w:rsidR="000B7E56" w:rsidRPr="00BE180E">
        <w:t>émises par le ministre de la Santé et des Services sociaux</w:t>
      </w:r>
      <w:r w:rsidR="005A1776" w:rsidRPr="00BE180E">
        <w:t>?</w:t>
      </w:r>
      <w:r w:rsidR="000B7E56" w:rsidRPr="00BE180E">
        <w:t xml:space="preserve"> À quel moment le m</w:t>
      </w:r>
      <w:r w:rsidR="007F19F6" w:rsidRPr="00BE180E">
        <w:t xml:space="preserve">inistre </w:t>
      </w:r>
      <w:r w:rsidR="00F75EC3" w:rsidRPr="00BE180E">
        <w:t>pourrait-il</w:t>
      </w:r>
      <w:r w:rsidR="007F19F6" w:rsidRPr="00BE180E">
        <w:t xml:space="preserve"> </w:t>
      </w:r>
      <w:r w:rsidR="00F75EC3" w:rsidRPr="00BE180E">
        <w:t>estimer</w:t>
      </w:r>
      <w:r w:rsidR="007F19F6" w:rsidRPr="00BE180E">
        <w:t xml:space="preserve"> qu’un établissement pose des gestes incompatibles avec les règles de </w:t>
      </w:r>
      <w:r w:rsidR="00DA7B77" w:rsidRPr="00BE180E">
        <w:t>saine gestion</w:t>
      </w:r>
      <w:r w:rsidR="007F19F6" w:rsidRPr="00BE180E">
        <w:t xml:space="preserve"> lui permettant d’exercer ses pouvoirs en vertu de l’article</w:t>
      </w:r>
      <w:r w:rsidR="005A1776" w:rsidRPr="00BE180E">
        <w:t> </w:t>
      </w:r>
      <w:r w:rsidR="007F19F6" w:rsidRPr="00BE180E">
        <w:t>134 du présent projet de loi?</w:t>
      </w:r>
      <w:r w:rsidR="007F19F6">
        <w:t xml:space="preserve"> </w:t>
      </w:r>
      <w:r w:rsidR="00D12D29">
        <w:t xml:space="preserve"> </w:t>
      </w:r>
    </w:p>
    <w:p w:rsidR="000A0C05" w:rsidRDefault="008A0EF6" w:rsidP="000A0C05">
      <w:r>
        <w:t xml:space="preserve">Jusqu’à maintenant, le ministre a expliqué qu’il s’agissait de pouvoirs transitoires. Cependant, rien </w:t>
      </w:r>
      <w:r w:rsidR="007F19F6">
        <w:t>dans le présen</w:t>
      </w:r>
      <w:r w:rsidR="009F7B9C">
        <w:t xml:space="preserve">t projet de loi n’indique que ces dispositions sont transitoires. </w:t>
      </w:r>
      <w:r w:rsidR="000A0C05">
        <w:t>Nous som</w:t>
      </w:r>
      <w:r w:rsidR="000B7E56">
        <w:t>mes d’avis que les pouvoirs du m</w:t>
      </w:r>
      <w:r w:rsidR="000A0C05">
        <w:t>inistre devraient êtr</w:t>
      </w:r>
      <w:r w:rsidR="003F60D7">
        <w:t>e plus restreints,</w:t>
      </w:r>
      <w:r w:rsidR="000A0C05">
        <w:t xml:space="preserve"> limités dans le temps, et que ce</w:t>
      </w:r>
      <w:r w:rsidR="000B7E56">
        <w:t xml:space="preserve">la </w:t>
      </w:r>
      <w:r w:rsidR="005A1776">
        <w:t>soi</w:t>
      </w:r>
      <w:r w:rsidR="000B7E56">
        <w:t>t inscrit au projet de l</w:t>
      </w:r>
      <w:r w:rsidR="000A0C05">
        <w:t>oi</w:t>
      </w:r>
      <w:r w:rsidR="00CC15F8">
        <w:t>, et ce, pour enlever toute confusion</w:t>
      </w:r>
      <w:r w:rsidR="000A0C05">
        <w:t>.</w:t>
      </w:r>
    </w:p>
    <w:p w:rsidR="000B7E56" w:rsidRDefault="000B7E56" w:rsidP="000A0C05"/>
    <w:p w:rsidR="00ED03E4" w:rsidRDefault="006B4B04" w:rsidP="00695FAA">
      <w:pPr>
        <w:pBdr>
          <w:top w:val="single" w:sz="4" w:space="1" w:color="auto"/>
          <w:left w:val="single" w:sz="4" w:space="4" w:color="auto"/>
          <w:bottom w:val="single" w:sz="4" w:space="1" w:color="auto"/>
          <w:right w:val="single" w:sz="4" w:space="4" w:color="auto"/>
        </w:pBdr>
        <w:rPr>
          <w:b/>
        </w:rPr>
      </w:pPr>
      <w:r>
        <w:rPr>
          <w:b/>
        </w:rPr>
        <w:t>R</w:t>
      </w:r>
      <w:r w:rsidR="00ED03E4">
        <w:rPr>
          <w:b/>
        </w:rPr>
        <w:t>ecommandation</w:t>
      </w:r>
      <w:r w:rsidR="005A1776">
        <w:rPr>
          <w:b/>
        </w:rPr>
        <w:t> </w:t>
      </w:r>
      <w:r w:rsidR="00ED03E4">
        <w:rPr>
          <w:b/>
        </w:rPr>
        <w:t>2</w:t>
      </w:r>
    </w:p>
    <w:p w:rsidR="00DA7B77" w:rsidRPr="00DA7B77" w:rsidRDefault="0038621D" w:rsidP="00DA7B77">
      <w:pPr>
        <w:pBdr>
          <w:top w:val="single" w:sz="4" w:space="1" w:color="auto"/>
          <w:left w:val="single" w:sz="4" w:space="4" w:color="auto"/>
          <w:bottom w:val="single" w:sz="4" w:space="1" w:color="auto"/>
          <w:right w:val="single" w:sz="4" w:space="4" w:color="auto"/>
        </w:pBdr>
        <w:rPr>
          <w:b/>
        </w:rPr>
      </w:pPr>
      <w:r w:rsidRPr="0038621D">
        <w:rPr>
          <w:b/>
        </w:rPr>
        <w:t>Nous recommandons</w:t>
      </w:r>
      <w:r w:rsidR="00F75EC3">
        <w:rPr>
          <w:b/>
        </w:rPr>
        <w:t xml:space="preserve"> de préciser que</w:t>
      </w:r>
      <w:r w:rsidRPr="0038621D">
        <w:rPr>
          <w:b/>
        </w:rPr>
        <w:t xml:space="preserve"> </w:t>
      </w:r>
      <w:r w:rsidR="009F7B9C">
        <w:rPr>
          <w:b/>
        </w:rPr>
        <w:t>toutes les dispositions d</w:t>
      </w:r>
      <w:r w:rsidR="000B7E56">
        <w:rPr>
          <w:b/>
        </w:rPr>
        <w:t>onnant de nouveaux pouvoirs au m</w:t>
      </w:r>
      <w:r w:rsidR="009F7B9C">
        <w:rPr>
          <w:b/>
        </w:rPr>
        <w:t xml:space="preserve">inistre </w:t>
      </w:r>
      <w:r w:rsidR="00F75EC3">
        <w:rPr>
          <w:b/>
        </w:rPr>
        <w:t>sont liées à des</w:t>
      </w:r>
      <w:r w:rsidR="009F7B9C">
        <w:rPr>
          <w:b/>
        </w:rPr>
        <w:t xml:space="preserve"> mesures </w:t>
      </w:r>
      <w:r w:rsidR="00F75EC3">
        <w:rPr>
          <w:b/>
        </w:rPr>
        <w:t xml:space="preserve">transitoires et que des délais d’application </w:t>
      </w:r>
      <w:r w:rsidR="009F7B9C">
        <w:rPr>
          <w:b/>
        </w:rPr>
        <w:t xml:space="preserve">soient </w:t>
      </w:r>
      <w:r w:rsidR="00F75EC3">
        <w:rPr>
          <w:b/>
        </w:rPr>
        <w:t>inscrits pour ces mesures transitoires</w:t>
      </w:r>
      <w:r w:rsidR="009F7B9C">
        <w:rPr>
          <w:b/>
        </w:rPr>
        <w:t xml:space="preserve">. </w:t>
      </w:r>
    </w:p>
    <w:p w:rsidR="00DA7B77" w:rsidRDefault="00DA7B77" w:rsidP="00DA7B77"/>
    <w:p w:rsidR="00DA7B77" w:rsidRDefault="00DA7B77" w:rsidP="00DA7B77">
      <w:r>
        <w:t>L’article</w:t>
      </w:r>
      <w:r w:rsidR="005A1776">
        <w:t> </w:t>
      </w:r>
      <w:r>
        <w:t xml:space="preserve">129 du présent projet de loi nous interpelle particulièrement. En vertu de cet article, le ministre peut demander la fusion de deux ou </w:t>
      </w:r>
      <w:r w:rsidR="00F75EC3">
        <w:t xml:space="preserve">de </w:t>
      </w:r>
      <w:r>
        <w:t xml:space="preserve">plusieurs établissements s’il le juge opportun. </w:t>
      </w:r>
    </w:p>
    <w:p w:rsidR="00DA7B77" w:rsidRPr="00BE180E" w:rsidRDefault="00DA7B77" w:rsidP="00DA7B77">
      <w:r w:rsidRPr="00BE180E">
        <w:t xml:space="preserve">Déjà, le projet de loi propose la fusion de l’ensemble des établissements de santé et de services sociaux pour chacun des territoires </w:t>
      </w:r>
      <w:proofErr w:type="spellStart"/>
      <w:r w:rsidRPr="00BE180E">
        <w:t>socio</w:t>
      </w:r>
      <w:r w:rsidR="005A1776" w:rsidRPr="00BE180E">
        <w:t>sanitaires</w:t>
      </w:r>
      <w:proofErr w:type="spellEnd"/>
      <w:r w:rsidRPr="00BE180E">
        <w:t xml:space="preserve"> du Québec, à l’exception de Montréal. Devant l’ampleur d’une telle fusion, comment pourrait-on laisser une latitude supplémentaire pour d’autres fusions? Est-ce que nous nous reverrons dans deux ans</w:t>
      </w:r>
      <w:r w:rsidR="00F75EC3" w:rsidRPr="00BE180E">
        <w:t>,</w:t>
      </w:r>
      <w:r w:rsidRPr="00BE180E">
        <w:t xml:space="preserve"> à cette même commission parlementaire</w:t>
      </w:r>
      <w:r w:rsidR="00F75EC3" w:rsidRPr="00BE180E">
        <w:t>,</w:t>
      </w:r>
      <w:r w:rsidRPr="00BE180E">
        <w:t xml:space="preserve"> pour discuter du CISSS du Québec? </w:t>
      </w:r>
    </w:p>
    <w:p w:rsidR="00DA7B77" w:rsidRDefault="007D769B" w:rsidP="00DA7B77">
      <w:r w:rsidRPr="00BE180E">
        <w:lastRenderedPageBreak/>
        <w:t>Aussi, q</w:t>
      </w:r>
      <w:r w:rsidR="00DA7B77" w:rsidRPr="00BE180E">
        <w:t xml:space="preserve">u’advient-il </w:t>
      </w:r>
      <w:r w:rsidR="000B7E56" w:rsidRPr="00BE180E">
        <w:t>dans ce projet de l</w:t>
      </w:r>
      <w:r w:rsidRPr="00BE180E">
        <w:t xml:space="preserve">oi </w:t>
      </w:r>
      <w:r w:rsidR="00DA7B77" w:rsidRPr="00BE180E">
        <w:t>de la responsabilité populationnelle? Comment peut-on penser qu’une mégafusion pourrait assurer une meilleure continuité des soins? L’impor</w:t>
      </w:r>
      <w:r w:rsidR="003F60D7" w:rsidRPr="00BE180E">
        <w:t>tance des services de proximité</w:t>
      </w:r>
      <w:r w:rsidR="00DA7B77" w:rsidRPr="00BE180E">
        <w:t xml:space="preserve"> n’a plus à </w:t>
      </w:r>
      <w:r w:rsidRPr="00BE180E">
        <w:t xml:space="preserve">être démontrée. </w:t>
      </w:r>
      <w:r w:rsidR="00DA7B77" w:rsidRPr="00BE180E">
        <w:t>Pourtant</w:t>
      </w:r>
      <w:r w:rsidR="00477EC8" w:rsidRPr="00BE180E">
        <w:t xml:space="preserve"> l’article</w:t>
      </w:r>
      <w:r w:rsidR="005A1776" w:rsidRPr="00BE180E">
        <w:t> </w:t>
      </w:r>
      <w:r w:rsidR="00477EC8" w:rsidRPr="00BE180E">
        <w:t>129 lai</w:t>
      </w:r>
      <w:r w:rsidR="003F60D7" w:rsidRPr="00BE180E">
        <w:t>sse la porte grande ouverte à une</w:t>
      </w:r>
      <w:r w:rsidR="00477EC8" w:rsidRPr="00BE180E">
        <w:t xml:space="preserve"> fusion qui serait bien plus qu’une simple fusion administrative</w:t>
      </w:r>
      <w:r w:rsidR="003F60D7" w:rsidRPr="00BE180E">
        <w:t xml:space="preserve"> de deux établissements, mais une</w:t>
      </w:r>
      <w:r w:rsidR="00477EC8" w:rsidRPr="00BE180E">
        <w:t xml:space="preserve"> fusion de deux</w:t>
      </w:r>
      <w:r w:rsidRPr="00BE180E">
        <w:t>,</w:t>
      </w:r>
      <w:r w:rsidR="00477EC8" w:rsidRPr="00BE180E">
        <w:t xml:space="preserve"> voir</w:t>
      </w:r>
      <w:r w:rsidRPr="00BE180E">
        <w:t>e de</w:t>
      </w:r>
      <w:r w:rsidR="00477EC8" w:rsidRPr="00BE180E">
        <w:t xml:space="preserve"> plusieurs régions </w:t>
      </w:r>
      <w:proofErr w:type="spellStart"/>
      <w:r w:rsidR="00477EC8" w:rsidRPr="00BE180E">
        <w:t>socio</w:t>
      </w:r>
      <w:r w:rsidR="005A1776" w:rsidRPr="00BE180E">
        <w:t>sanitaires</w:t>
      </w:r>
      <w:proofErr w:type="spellEnd"/>
      <w:r w:rsidR="00477EC8" w:rsidRPr="00BE180E">
        <w:t xml:space="preserve"> au Québec.</w:t>
      </w:r>
    </w:p>
    <w:p w:rsidR="007D769B" w:rsidRDefault="007D769B" w:rsidP="00DA7B77"/>
    <w:p w:rsidR="00477EC8" w:rsidRPr="00477EC8" w:rsidRDefault="00477EC8" w:rsidP="00477EC8">
      <w:pPr>
        <w:pBdr>
          <w:top w:val="single" w:sz="4" w:space="1" w:color="auto"/>
          <w:left w:val="single" w:sz="4" w:space="4" w:color="auto"/>
          <w:bottom w:val="single" w:sz="4" w:space="1" w:color="auto"/>
          <w:right w:val="single" w:sz="4" w:space="4" w:color="auto"/>
        </w:pBdr>
        <w:rPr>
          <w:b/>
        </w:rPr>
      </w:pPr>
      <w:r>
        <w:rPr>
          <w:b/>
        </w:rPr>
        <w:t>Recommandation</w:t>
      </w:r>
      <w:r w:rsidR="005A1776">
        <w:rPr>
          <w:b/>
        </w:rPr>
        <w:t> </w:t>
      </w:r>
      <w:r>
        <w:rPr>
          <w:b/>
        </w:rPr>
        <w:t>3</w:t>
      </w:r>
    </w:p>
    <w:p w:rsidR="00477EC8" w:rsidRDefault="006C1AAE" w:rsidP="00477EC8">
      <w:pPr>
        <w:pBdr>
          <w:top w:val="single" w:sz="4" w:space="1" w:color="auto"/>
          <w:left w:val="single" w:sz="4" w:space="4" w:color="auto"/>
          <w:bottom w:val="single" w:sz="4" w:space="1" w:color="auto"/>
          <w:right w:val="single" w:sz="4" w:space="4" w:color="auto"/>
        </w:pBdr>
        <w:rPr>
          <w:b/>
        </w:rPr>
      </w:pPr>
      <w:r>
        <w:rPr>
          <w:b/>
        </w:rPr>
        <w:t>Nous recommandons que soit retiré</w:t>
      </w:r>
      <w:r w:rsidR="00477EC8" w:rsidRPr="00477EC8">
        <w:rPr>
          <w:b/>
        </w:rPr>
        <w:t xml:space="preserve"> </w:t>
      </w:r>
      <w:r w:rsidR="003F60D7">
        <w:rPr>
          <w:b/>
        </w:rPr>
        <w:t>du projet de loi</w:t>
      </w:r>
      <w:r w:rsidR="005A1776">
        <w:rPr>
          <w:b/>
        </w:rPr>
        <w:t> </w:t>
      </w:r>
      <w:r w:rsidR="003F60D7">
        <w:rPr>
          <w:b/>
        </w:rPr>
        <w:t>10</w:t>
      </w:r>
      <w:r w:rsidR="00477EC8" w:rsidRPr="00477EC8">
        <w:rPr>
          <w:b/>
        </w:rPr>
        <w:t xml:space="preserve"> l’article</w:t>
      </w:r>
      <w:r w:rsidR="005A1776">
        <w:rPr>
          <w:b/>
        </w:rPr>
        <w:t> </w:t>
      </w:r>
      <w:r w:rsidR="00477EC8" w:rsidRPr="00477EC8">
        <w:rPr>
          <w:b/>
        </w:rPr>
        <w:t>129</w:t>
      </w:r>
      <w:r w:rsidR="007D769B">
        <w:rPr>
          <w:b/>
        </w:rPr>
        <w:t>.</w:t>
      </w:r>
      <w:r w:rsidR="00477EC8" w:rsidRPr="00477EC8">
        <w:rPr>
          <w:b/>
        </w:rPr>
        <w:t xml:space="preserve"> </w:t>
      </w:r>
    </w:p>
    <w:p w:rsidR="00477EC8" w:rsidRPr="00477EC8" w:rsidRDefault="00477EC8" w:rsidP="00477EC8">
      <w:pPr>
        <w:pBdr>
          <w:top w:val="single" w:sz="4" w:space="1" w:color="auto"/>
          <w:left w:val="single" w:sz="4" w:space="4" w:color="auto"/>
          <w:bottom w:val="single" w:sz="4" w:space="1" w:color="auto"/>
          <w:right w:val="single" w:sz="4" w:space="4" w:color="auto"/>
        </w:pBdr>
        <w:rPr>
          <w:b/>
        </w:rPr>
      </w:pPr>
      <w:r>
        <w:rPr>
          <w:b/>
        </w:rPr>
        <w:t>Recommandation</w:t>
      </w:r>
      <w:r w:rsidR="005A1776">
        <w:rPr>
          <w:b/>
        </w:rPr>
        <w:t> </w:t>
      </w:r>
      <w:r>
        <w:rPr>
          <w:b/>
        </w:rPr>
        <w:t>4</w:t>
      </w:r>
    </w:p>
    <w:p w:rsidR="00477EC8" w:rsidRPr="00477EC8" w:rsidRDefault="00477EC8" w:rsidP="00477EC8">
      <w:pPr>
        <w:pBdr>
          <w:top w:val="single" w:sz="4" w:space="1" w:color="auto"/>
          <w:left w:val="single" w:sz="4" w:space="4" w:color="auto"/>
          <w:bottom w:val="single" w:sz="4" w:space="1" w:color="auto"/>
          <w:right w:val="single" w:sz="4" w:space="4" w:color="auto"/>
        </w:pBdr>
        <w:rPr>
          <w:b/>
        </w:rPr>
      </w:pPr>
      <w:r w:rsidRPr="00477EC8">
        <w:rPr>
          <w:b/>
        </w:rPr>
        <w:t>Nous recommandons que l’article</w:t>
      </w:r>
      <w:r w:rsidR="005A1776">
        <w:rPr>
          <w:b/>
        </w:rPr>
        <w:t> </w:t>
      </w:r>
      <w:r w:rsidRPr="00477EC8">
        <w:rPr>
          <w:b/>
        </w:rPr>
        <w:t>318 de la Loi sur les services de santé et les services sociaux soit abrogé.</w:t>
      </w:r>
    </w:p>
    <w:p w:rsidR="007D769B" w:rsidRDefault="007D769B" w:rsidP="000B406A">
      <w:pPr>
        <w:pStyle w:val="Titre2"/>
        <w:spacing w:after="240"/>
      </w:pPr>
    </w:p>
    <w:p w:rsidR="007D769B" w:rsidRDefault="007D769B" w:rsidP="000B406A">
      <w:pPr>
        <w:pStyle w:val="Titre2"/>
        <w:spacing w:after="240"/>
      </w:pPr>
    </w:p>
    <w:p w:rsidR="008D264D" w:rsidRPr="008D264D" w:rsidRDefault="00A03133" w:rsidP="000B406A">
      <w:pPr>
        <w:pStyle w:val="Titre2"/>
        <w:spacing w:after="240"/>
      </w:pPr>
      <w:bookmarkStart w:id="4" w:name="_Toc403383308"/>
      <w:r>
        <w:t xml:space="preserve">3. </w:t>
      </w:r>
      <w:r w:rsidR="00ED03E4">
        <w:t>L</w:t>
      </w:r>
      <w:r w:rsidR="00020735">
        <w:t>a parole citoyenne et communautaire</w:t>
      </w:r>
      <w:bookmarkEnd w:id="4"/>
    </w:p>
    <w:p w:rsidR="00FE7312" w:rsidRPr="00AB439A" w:rsidRDefault="00DA7B77" w:rsidP="00FE7312">
      <w:r>
        <w:t>L</w:t>
      </w:r>
      <w:r w:rsidR="00ED03E4">
        <w:t xml:space="preserve">a CTROC déplore le recul </w:t>
      </w:r>
      <w:r w:rsidR="00020735">
        <w:t>concernant la place accordée au citoyen et au milieu communautaire</w:t>
      </w:r>
      <w:r w:rsidR="006C1FDB" w:rsidRPr="006C1FDB">
        <w:t xml:space="preserve"> </w:t>
      </w:r>
      <w:r w:rsidR="006C1FDB">
        <w:t>dans la représentation au sein des  nouvelles structures régionales</w:t>
      </w:r>
      <w:r w:rsidR="00A55F1C">
        <w:t>.</w:t>
      </w:r>
      <w:r w:rsidR="003372DF">
        <w:t xml:space="preserve"> </w:t>
      </w:r>
      <w:r w:rsidR="00FE7312">
        <w:t>De plus,</w:t>
      </w:r>
      <w:r w:rsidR="007D769B">
        <w:t xml:space="preserve"> n</w:t>
      </w:r>
      <w:r w:rsidR="00167AF9">
        <w:t xml:space="preserve">ous déplorons l’absence, à </w:t>
      </w:r>
      <w:r w:rsidR="00FE7312">
        <w:t>l’article</w:t>
      </w:r>
      <w:r w:rsidR="005A1776">
        <w:t> </w:t>
      </w:r>
      <w:r w:rsidR="00FE7312">
        <w:t>11</w:t>
      </w:r>
      <w:r w:rsidR="00167AF9">
        <w:t>, des</w:t>
      </w:r>
      <w:r w:rsidR="00020735">
        <w:t xml:space="preserve"> siège</w:t>
      </w:r>
      <w:r w:rsidR="007D769B">
        <w:t>s</w:t>
      </w:r>
      <w:r w:rsidR="00020735">
        <w:t xml:space="preserve"> réservé</w:t>
      </w:r>
      <w:r w:rsidR="007D769B">
        <w:t>s</w:t>
      </w:r>
      <w:r w:rsidR="00020735">
        <w:t xml:space="preserve"> à des personnes citoyennes</w:t>
      </w:r>
      <w:r w:rsidR="007D769B">
        <w:t>,</w:t>
      </w:r>
      <w:r w:rsidR="00020735">
        <w:t xml:space="preserve"> </w:t>
      </w:r>
      <w:r w:rsidR="007D769B">
        <w:t>de même que d’</w:t>
      </w:r>
      <w:r w:rsidR="00167AF9">
        <w:t>un siège réservé à un représentant d’un organisme communautaire.</w:t>
      </w:r>
      <w:r w:rsidR="00020735">
        <w:t xml:space="preserve"> </w:t>
      </w:r>
    </w:p>
    <w:p w:rsidR="00810C9D" w:rsidRDefault="001D0ABC" w:rsidP="00810C9D">
      <w:r w:rsidRPr="00AB439A">
        <w:t>Rappelons qu’actuellement, un siège est réservé</w:t>
      </w:r>
      <w:r w:rsidR="003F60D7">
        <w:t xml:space="preserve"> </w:t>
      </w:r>
      <w:r w:rsidR="003F60D7" w:rsidRPr="00AB439A">
        <w:t>au sein du conseil d’administration des Agences de santé et de services sociaux et des établissements</w:t>
      </w:r>
      <w:r w:rsidRPr="00AB439A">
        <w:t xml:space="preserve"> </w:t>
      </w:r>
      <w:r w:rsidR="007044A0" w:rsidRPr="00AB439A">
        <w:t>pour une personne choisie à partir d’une liste de noms fournie par les organismes communautaires</w:t>
      </w:r>
      <w:r w:rsidR="00AB439A" w:rsidRPr="00AB439A">
        <w:t>. On retrouve également</w:t>
      </w:r>
      <w:r w:rsidR="007044A0" w:rsidRPr="00AB439A">
        <w:t xml:space="preserve"> deux personnes élues par la population au sein de</w:t>
      </w:r>
      <w:r w:rsidR="00AB439A" w:rsidRPr="00AB439A">
        <w:t>s C.A. d’</w:t>
      </w:r>
      <w:r w:rsidR="00FE7312">
        <w:t>établissement</w:t>
      </w:r>
      <w:r w:rsidR="007D769B">
        <w:t>s</w:t>
      </w:r>
      <w:r w:rsidRPr="00AB439A">
        <w:t>.</w:t>
      </w:r>
      <w:r w:rsidR="008D264D">
        <w:t xml:space="preserve"> </w:t>
      </w:r>
    </w:p>
    <w:p w:rsidR="00810C9D" w:rsidRDefault="007D769B" w:rsidP="00810C9D">
      <w:r>
        <w:t>L’objectif</w:t>
      </w:r>
      <w:r w:rsidR="00810C9D">
        <w:t xml:space="preserve"> d</w:t>
      </w:r>
      <w:r w:rsidR="003F60D7">
        <w:t>’une participation</w:t>
      </w:r>
      <w:r w:rsidR="00810C9D">
        <w:t xml:space="preserve"> citoyenne</w:t>
      </w:r>
      <w:r w:rsidR="003F60D7">
        <w:t xml:space="preserve"> au sein de conseils d’administration est de s’assurer que l</w:t>
      </w:r>
      <w:r w:rsidR="00810C9D">
        <w:t xml:space="preserve">e point de vue </w:t>
      </w:r>
      <w:r w:rsidR="003F60D7">
        <w:t xml:space="preserve">citoyen </w:t>
      </w:r>
      <w:r w:rsidR="00810C9D">
        <w:t>soit entendu par les experts</w:t>
      </w:r>
      <w:r>
        <w:t>, parfois</w:t>
      </w:r>
      <w:r w:rsidR="00810C9D">
        <w:t xml:space="preserve"> éloignés de la réalité terrain et de certaines particularités régionales et locales. Dans cet esprit, nous espérons que les rencontre</w:t>
      </w:r>
      <w:r w:rsidR="005A1776">
        <w:t xml:space="preserve">s </w:t>
      </w:r>
      <w:r w:rsidR="00810C9D">
        <w:t xml:space="preserve">du conseil d’administration de la nouvelle entité </w:t>
      </w:r>
      <w:r>
        <w:t>comporteront</w:t>
      </w:r>
      <w:r w:rsidR="00810C9D">
        <w:t xml:space="preserve"> des périodes de questions du public</w:t>
      </w:r>
      <w:r>
        <w:t>,</w:t>
      </w:r>
      <w:r w:rsidR="00810C9D">
        <w:t xml:space="preserve"> comme c’est le cas actuellement lors des rencontres régulières des C.A. des Agences de santé et services sociaux.</w:t>
      </w:r>
    </w:p>
    <w:p w:rsidR="00E618A1" w:rsidRDefault="00810C9D">
      <w:r>
        <w:t>Quant aux</w:t>
      </w:r>
      <w:r w:rsidR="00D01EAD">
        <w:t xml:space="preserve"> organismes communautaires</w:t>
      </w:r>
      <w:r>
        <w:t>, même s’ils</w:t>
      </w:r>
      <w:r w:rsidR="00E618A1">
        <w:t xml:space="preserve"> ne so</w:t>
      </w:r>
      <w:r w:rsidR="00D01EAD">
        <w:t xml:space="preserve">nt </w:t>
      </w:r>
      <w:r w:rsidR="00E618A1">
        <w:t>pas des prestataires de services publics de l’État</w:t>
      </w:r>
      <w:r>
        <w:t>,</w:t>
      </w:r>
      <w:r w:rsidR="00FE7312">
        <w:t xml:space="preserve"> i</w:t>
      </w:r>
      <w:r w:rsidR="00AB439A">
        <w:t xml:space="preserve">l </w:t>
      </w:r>
      <w:r w:rsidR="00E618A1">
        <w:t>n’en demeure pas moins qu</w:t>
      </w:r>
      <w:r w:rsidR="00D01EAD">
        <w:t>’ils sont des</w:t>
      </w:r>
      <w:r w:rsidR="00E618A1">
        <w:t xml:space="preserve"> partenaires </w:t>
      </w:r>
      <w:r w:rsidR="00D451B7">
        <w:t xml:space="preserve">incontournables </w:t>
      </w:r>
      <w:r w:rsidR="00E618A1">
        <w:t>du réseau de la santé et des services soci</w:t>
      </w:r>
      <w:r w:rsidR="009B397A">
        <w:t xml:space="preserve">aux. Dans la brochure « Programme de soutien aux </w:t>
      </w:r>
      <w:r w:rsidR="009B397A">
        <w:lastRenderedPageBreak/>
        <w:t>organismes communautaires</w:t>
      </w:r>
      <w:r w:rsidR="009B397A">
        <w:rPr>
          <w:rStyle w:val="Appelnotedebasdep"/>
        </w:rPr>
        <w:footnoteReference w:id="2"/>
      </w:r>
      <w:r w:rsidR="009B397A">
        <w:t xml:space="preserve"> », le MSSS reconnait d’ailleurs l’apport indéniable des organismes communautaires. On peut lire : </w:t>
      </w:r>
    </w:p>
    <w:p w:rsidR="009B397A" w:rsidRDefault="009B397A" w:rsidP="007044A0">
      <w:pPr>
        <w:ind w:left="708"/>
      </w:pPr>
      <w:r w:rsidRPr="009B397A">
        <w:rPr>
          <w:i/>
        </w:rPr>
        <w:t>Au fil des ans, les organismes communautaires et bénévoles autonomes ont joué un rôle de plus en plus important dans les réponses à apporter aux besoins sociaux et aux besoins de santé de la population. Issus de la communauté, ils ont su répondre à une multitude de besoins non couverts par le réseau public, en plus de favoriser la mobilisation de milliers de personnes autour d’objectifs et de projets communs en réponse à des besoins particuliers</w:t>
      </w:r>
      <w:r>
        <w:t>.</w:t>
      </w:r>
      <w:r w:rsidR="00D01EAD">
        <w:t xml:space="preserve"> (p.6)</w:t>
      </w:r>
    </w:p>
    <w:p w:rsidR="007D769B" w:rsidRDefault="003C2980" w:rsidP="00D451B7">
      <w:r>
        <w:t>Nous nous expliquons mal pourquoi le siège « organisme communautaire » disparait</w:t>
      </w:r>
      <w:r w:rsidR="006954A1">
        <w:t xml:space="preserve"> alors que l</w:t>
      </w:r>
      <w:r>
        <w:t>’article</w:t>
      </w:r>
      <w:r w:rsidR="005A1776">
        <w:t> </w:t>
      </w:r>
      <w:r>
        <w:t>59</w:t>
      </w:r>
      <w:r w:rsidR="006954A1">
        <w:t>,</w:t>
      </w:r>
      <w:r w:rsidR="007D769B">
        <w:t xml:space="preserve"> alinéa</w:t>
      </w:r>
      <w:r w:rsidR="005A1776">
        <w:t> </w:t>
      </w:r>
      <w:r>
        <w:t>4</w:t>
      </w:r>
      <w:r w:rsidR="006954A1">
        <w:t>,</w:t>
      </w:r>
      <w:r>
        <w:t xml:space="preserve"> du projet de loi prévoit que l’établissement régional est responsable de l’attribution des subventions aux organismes communautaires.  </w:t>
      </w:r>
    </w:p>
    <w:p w:rsidR="00D451B7" w:rsidRDefault="00D451B7" w:rsidP="00D451B7">
      <w:r>
        <w:t xml:space="preserve">Rappelons que </w:t>
      </w:r>
      <w:r w:rsidRPr="00B97B00">
        <w:t>l’article</w:t>
      </w:r>
      <w:r w:rsidR="005A1776">
        <w:t> </w:t>
      </w:r>
      <w:r w:rsidRPr="00B97B00">
        <w:t>2</w:t>
      </w:r>
      <w:r>
        <w:t xml:space="preserve"> de </w:t>
      </w:r>
      <w:r w:rsidR="00DE31C1">
        <w:t>l</w:t>
      </w:r>
      <w:r w:rsidR="00B97B00">
        <w:t>a LSSS</w:t>
      </w:r>
      <w:r>
        <w:t xml:space="preserve"> mentionne que pour la réalisation d</w:t>
      </w:r>
      <w:r w:rsidR="007D769B">
        <w:t>u</w:t>
      </w:r>
      <w:r>
        <w:t xml:space="preserve"> but</w:t>
      </w:r>
      <w:r w:rsidR="00CB21BB">
        <w:t xml:space="preserve"> de la LSSS, tel qu’indiqué à l’article</w:t>
      </w:r>
      <w:r w:rsidR="005A1776">
        <w:t> </w:t>
      </w:r>
      <w:r w:rsidR="00CB21BB">
        <w:t>1</w:t>
      </w:r>
      <w:r>
        <w:t> :</w:t>
      </w:r>
    </w:p>
    <w:p w:rsidR="00D451B7" w:rsidRDefault="00D451B7" w:rsidP="00D451B7">
      <w:pPr>
        <w:ind w:left="708"/>
      </w:pPr>
      <w:r>
        <w:t>«</w:t>
      </w:r>
      <w:r w:rsidR="005A1776">
        <w:t> L</w:t>
      </w:r>
      <w:r>
        <w:t>a présente loi établit un mode d</w:t>
      </w:r>
      <w:r w:rsidR="005A1776">
        <w:t>’</w:t>
      </w:r>
      <w:r>
        <w:t>organisation des ressources humaines, matérielles et financières destiné</w:t>
      </w:r>
      <w:r w:rsidR="005A1776">
        <w:t>es à </w:t>
      </w:r>
      <w:r>
        <w:t>:</w:t>
      </w:r>
    </w:p>
    <w:p w:rsidR="00D451B7" w:rsidRDefault="00D451B7" w:rsidP="00D451B7">
      <w:pPr>
        <w:ind w:left="708" w:firstLine="1"/>
      </w:pPr>
      <w:r>
        <w:t>1° assurer la participation des personnes et des groupes qu</w:t>
      </w:r>
      <w:r w:rsidR="005A1776">
        <w:t>’</w:t>
      </w:r>
      <w:r>
        <w:t>elles forment au choix des orientations, à l</w:t>
      </w:r>
      <w:r w:rsidR="005A1776">
        <w:t>’</w:t>
      </w:r>
      <w:r>
        <w:t>instauration, à l</w:t>
      </w:r>
      <w:r w:rsidR="005A1776">
        <w:t>’</w:t>
      </w:r>
      <w:r>
        <w:t>amélioration, au développement et à l</w:t>
      </w:r>
      <w:r w:rsidR="005A1776">
        <w:t>’</w:t>
      </w:r>
      <w:r>
        <w:t>administration des services;</w:t>
      </w:r>
    </w:p>
    <w:p w:rsidR="00D451B7" w:rsidRDefault="00D451B7" w:rsidP="00D451B7">
      <w:pPr>
        <w:ind w:left="708" w:firstLine="30"/>
      </w:pPr>
      <w:r>
        <w:t>2° favoriser la participation de tous les intervenants des différents secteurs d</w:t>
      </w:r>
      <w:r w:rsidR="005A1776">
        <w:t>’</w:t>
      </w:r>
      <w:r>
        <w:t>activité de la vie collective dont l</w:t>
      </w:r>
      <w:r w:rsidR="005A1776">
        <w:t>’</w:t>
      </w:r>
      <w:r>
        <w:t>action peut avoir un impact sur la santé et le bien-être;</w:t>
      </w:r>
    </w:p>
    <w:p w:rsidR="00D451B7" w:rsidRDefault="00D451B7" w:rsidP="00D451B7">
      <w:pPr>
        <w:ind w:firstLine="708"/>
      </w:pPr>
      <w:r>
        <w:t>(…)».</w:t>
      </w:r>
    </w:p>
    <w:p w:rsidR="00F860E3" w:rsidRDefault="00810C9D" w:rsidP="009B397A">
      <w:r>
        <w:t>Pour ces raisons, la présence d’administrateurs</w:t>
      </w:r>
      <w:r w:rsidR="003F60D7">
        <w:t xml:space="preserve"> citoyens</w:t>
      </w:r>
      <w:r>
        <w:t xml:space="preserve"> </w:t>
      </w:r>
      <w:r w:rsidR="003F60D7">
        <w:t xml:space="preserve">et de personnes </w:t>
      </w:r>
      <w:r>
        <w:t xml:space="preserve">ayant des profils communautaires </w:t>
      </w:r>
      <w:r w:rsidR="003F60D7">
        <w:t>appara</w:t>
      </w:r>
      <w:r w:rsidR="005A1776">
        <w:t>ît</w:t>
      </w:r>
      <w:r>
        <w:t xml:space="preserve"> </w:t>
      </w:r>
      <w:r w:rsidR="00386759">
        <w:t>indiquée</w:t>
      </w:r>
      <w:r>
        <w:t>. Quant au profil communautaire, il aurait avantage à être mieux défini. Pour le moment, un</w:t>
      </w:r>
      <w:r w:rsidR="003F60D7">
        <w:t>e personne n’œuvrant pas</w:t>
      </w:r>
      <w:r>
        <w:t xml:space="preserve"> dans le milieu communautaire peut </w:t>
      </w:r>
      <w:r w:rsidR="003F60D7">
        <w:t xml:space="preserve">y </w:t>
      </w:r>
      <w:r>
        <w:t>siéger, alors qu’il serait s</w:t>
      </w:r>
      <w:r w:rsidR="003F60D7">
        <w:t>ouhaitable que la personne de ce profil soit présente dans</w:t>
      </w:r>
      <w:r>
        <w:t xml:space="preserve"> ce milieu.</w:t>
      </w:r>
    </w:p>
    <w:p w:rsidR="00810C9D" w:rsidRDefault="00810C9D" w:rsidP="009B397A"/>
    <w:p w:rsidR="00F860E3" w:rsidRPr="00F860E3" w:rsidRDefault="00621233" w:rsidP="00695FAA">
      <w:pPr>
        <w:pBdr>
          <w:top w:val="single" w:sz="4" w:space="1" w:color="auto"/>
          <w:left w:val="single" w:sz="4" w:space="4" w:color="auto"/>
          <w:bottom w:val="single" w:sz="4" w:space="1" w:color="auto"/>
          <w:right w:val="single" w:sz="4" w:space="4" w:color="auto"/>
        </w:pBdr>
        <w:rPr>
          <w:b/>
        </w:rPr>
      </w:pPr>
      <w:r w:rsidRPr="00F860E3">
        <w:rPr>
          <w:b/>
        </w:rPr>
        <w:t>R</w:t>
      </w:r>
      <w:r w:rsidR="00477EC8">
        <w:rPr>
          <w:b/>
        </w:rPr>
        <w:t>ecommandation</w:t>
      </w:r>
      <w:r w:rsidR="005A1776">
        <w:rPr>
          <w:b/>
        </w:rPr>
        <w:t> </w:t>
      </w:r>
      <w:r w:rsidR="00477EC8">
        <w:rPr>
          <w:b/>
        </w:rPr>
        <w:t>5</w:t>
      </w:r>
    </w:p>
    <w:p w:rsidR="009B397A" w:rsidRPr="000B66C2" w:rsidRDefault="00781C0B" w:rsidP="00695FAA">
      <w:pPr>
        <w:pBdr>
          <w:top w:val="single" w:sz="4" w:space="1" w:color="auto"/>
          <w:left w:val="single" w:sz="4" w:space="4" w:color="auto"/>
          <w:bottom w:val="single" w:sz="4" w:space="1" w:color="auto"/>
          <w:right w:val="single" w:sz="4" w:space="4" w:color="auto"/>
        </w:pBdr>
      </w:pPr>
      <w:r w:rsidRPr="00F860E3">
        <w:rPr>
          <w:b/>
        </w:rPr>
        <w:t>N</w:t>
      </w:r>
      <w:r w:rsidR="003C2980" w:rsidRPr="00F860E3">
        <w:rPr>
          <w:b/>
        </w:rPr>
        <w:t>ous re</w:t>
      </w:r>
      <w:r w:rsidR="002556E5" w:rsidRPr="00F860E3">
        <w:rPr>
          <w:b/>
        </w:rPr>
        <w:t>commandons l’ajout à l’art</w:t>
      </w:r>
      <w:r w:rsidR="003F60D7">
        <w:rPr>
          <w:b/>
        </w:rPr>
        <w:t>icle</w:t>
      </w:r>
      <w:r w:rsidR="005A1776">
        <w:rPr>
          <w:b/>
        </w:rPr>
        <w:t> </w:t>
      </w:r>
      <w:r w:rsidR="003F60D7">
        <w:rPr>
          <w:b/>
        </w:rPr>
        <w:t xml:space="preserve">11 du profil de compétences </w:t>
      </w:r>
      <w:r w:rsidR="002556E5" w:rsidRPr="00F860E3">
        <w:rPr>
          <w:b/>
        </w:rPr>
        <w:t>communautaire</w:t>
      </w:r>
      <w:r w:rsidR="005A1776">
        <w:rPr>
          <w:b/>
        </w:rPr>
        <w:t xml:space="preserve">s </w:t>
      </w:r>
      <w:r w:rsidR="007044A0" w:rsidRPr="00F860E3">
        <w:rPr>
          <w:b/>
        </w:rPr>
        <w:t>et d</w:t>
      </w:r>
      <w:r w:rsidR="00D451B7" w:rsidRPr="00F860E3">
        <w:rPr>
          <w:b/>
        </w:rPr>
        <w:t>e</w:t>
      </w:r>
      <w:r w:rsidR="007044A0" w:rsidRPr="00F860E3">
        <w:rPr>
          <w:b/>
        </w:rPr>
        <w:t xml:space="preserve"> </w:t>
      </w:r>
      <w:r w:rsidR="00D451B7" w:rsidRPr="00F860E3">
        <w:rPr>
          <w:b/>
        </w:rPr>
        <w:t>personnes</w:t>
      </w:r>
      <w:r w:rsidR="007044A0" w:rsidRPr="00F860E3">
        <w:rPr>
          <w:b/>
        </w:rPr>
        <w:t xml:space="preserve"> </w:t>
      </w:r>
      <w:r w:rsidR="00D451B7" w:rsidRPr="00F860E3">
        <w:rPr>
          <w:b/>
        </w:rPr>
        <w:t>élues représentantes de la</w:t>
      </w:r>
      <w:r w:rsidR="007044A0" w:rsidRPr="00F860E3">
        <w:rPr>
          <w:b/>
        </w:rPr>
        <w:t xml:space="preserve"> population</w:t>
      </w:r>
      <w:r w:rsidR="002556E5" w:rsidRPr="00F860E3">
        <w:rPr>
          <w:b/>
        </w:rPr>
        <w:t>.</w:t>
      </w:r>
    </w:p>
    <w:p w:rsidR="000F0669" w:rsidRDefault="000F0669">
      <w:pPr>
        <w:rPr>
          <w:rFonts w:asciiTheme="majorHAnsi" w:eastAsiaTheme="majorEastAsia" w:hAnsiTheme="majorHAnsi" w:cstheme="majorBidi"/>
          <w:b/>
          <w:bCs/>
          <w:color w:val="4F81BD" w:themeColor="accent1"/>
          <w:sz w:val="26"/>
          <w:szCs w:val="26"/>
        </w:rPr>
      </w:pPr>
      <w:r>
        <w:br w:type="page"/>
      </w:r>
    </w:p>
    <w:p w:rsidR="001C5B53" w:rsidRDefault="00A03133" w:rsidP="002D38F0">
      <w:pPr>
        <w:pStyle w:val="Titre2"/>
        <w:spacing w:after="240"/>
      </w:pPr>
      <w:bookmarkStart w:id="5" w:name="_Toc403383309"/>
      <w:r>
        <w:lastRenderedPageBreak/>
        <w:t xml:space="preserve">4. </w:t>
      </w:r>
      <w:r w:rsidR="001C5B53" w:rsidRPr="00016638">
        <w:t>L’attribution des subventions aux organismes communautaires</w:t>
      </w:r>
      <w:bookmarkEnd w:id="5"/>
      <w:r w:rsidR="001C5B53" w:rsidRPr="00016638">
        <w:t xml:space="preserve"> </w:t>
      </w:r>
    </w:p>
    <w:p w:rsidR="009C1228" w:rsidRDefault="004F1FCE" w:rsidP="001C5B53">
      <w:r>
        <w:t xml:space="preserve">Comme mentionné </w:t>
      </w:r>
      <w:r w:rsidR="002615A8">
        <w:t>précédemment,</w:t>
      </w:r>
      <w:r>
        <w:t xml:space="preserve"> </w:t>
      </w:r>
      <w:r w:rsidR="002615A8">
        <w:t xml:space="preserve">le projet de loi propose que </w:t>
      </w:r>
      <w:r w:rsidR="001C5B53">
        <w:t>l’</w:t>
      </w:r>
      <w:r w:rsidR="002615A8">
        <w:t>établissement régional demeure responsable de l’</w:t>
      </w:r>
      <w:r w:rsidR="001C5B53">
        <w:t xml:space="preserve">attribution des subventions aux organismes communautaires. Par ailleurs, </w:t>
      </w:r>
      <w:r w:rsidR="002615A8">
        <w:t xml:space="preserve">c’est </w:t>
      </w:r>
      <w:r w:rsidR="001C5B53">
        <w:t>le ministre qui établit les règles à l’octroi des subventions aux organismes communautaires et ces règles doivent prévoir une comptabilité par programme</w:t>
      </w:r>
      <w:r w:rsidR="005A1776">
        <w:t xml:space="preserve"> </w:t>
      </w:r>
      <w:r w:rsidR="001C5B53">
        <w:t>service.</w:t>
      </w:r>
      <w:r w:rsidR="00C4664F">
        <w:t xml:space="preserve"> </w:t>
      </w:r>
    </w:p>
    <w:p w:rsidR="001C5B53" w:rsidRDefault="009C1228" w:rsidP="001C5B53">
      <w:r>
        <w:t xml:space="preserve">À ce propos, nous avons besoin de certaines précisions. </w:t>
      </w:r>
      <w:r w:rsidR="00C4664F">
        <w:t>Les subventions aux organismes communautaires pre</w:t>
      </w:r>
      <w:r w:rsidR="007D769B">
        <w:t xml:space="preserve">nnent plusieurs formes et chaque forme </w:t>
      </w:r>
      <w:r w:rsidR="00C4664F">
        <w:t xml:space="preserve">a ses spécificités. </w:t>
      </w:r>
      <w:r w:rsidR="008F598C">
        <w:t>Il est important d’en tenir compte dans toute réforme qui puisse les toucher.</w:t>
      </w:r>
      <w:r w:rsidR="00810C9D">
        <w:t xml:space="preserve"> </w:t>
      </w:r>
    </w:p>
    <w:p w:rsidR="007C32C0" w:rsidRPr="00810C9D" w:rsidRDefault="007C2DAF" w:rsidP="001C5B53">
      <w:r w:rsidRPr="00810C9D">
        <w:t>À la lecture de l’article</w:t>
      </w:r>
      <w:r w:rsidR="005A1776">
        <w:t> </w:t>
      </w:r>
      <w:r w:rsidRPr="00810C9D">
        <w:t>70</w:t>
      </w:r>
      <w:r w:rsidR="00DE31C1">
        <w:t xml:space="preserve"> du projet de l</w:t>
      </w:r>
      <w:r w:rsidR="007C32C0" w:rsidRPr="00810C9D">
        <w:t>oi</w:t>
      </w:r>
      <w:r w:rsidRPr="00810C9D">
        <w:t>, nous apprenons que l</w:t>
      </w:r>
      <w:r w:rsidR="007C32C0" w:rsidRPr="00810C9D">
        <w:t>e</w:t>
      </w:r>
      <w:r w:rsidRPr="00810C9D">
        <w:t xml:space="preserve"> nouvel</w:t>
      </w:r>
      <w:r w:rsidR="007C32C0" w:rsidRPr="00810C9D">
        <w:t xml:space="preserve"> établissement régional assumera les responsabilités actuelles de l’Agence</w:t>
      </w:r>
      <w:r w:rsidR="007D769B">
        <w:t>,</w:t>
      </w:r>
      <w:r w:rsidR="007C32C0" w:rsidRPr="00810C9D">
        <w:t xml:space="preserve"> prévues à l’article</w:t>
      </w:r>
      <w:r w:rsidR="005A1776">
        <w:t> </w:t>
      </w:r>
      <w:r w:rsidR="007C32C0" w:rsidRPr="00810C9D">
        <w:t>352 de la LSSSS</w:t>
      </w:r>
      <w:r w:rsidR="007D769B">
        <w:t>,</w:t>
      </w:r>
      <w:r w:rsidR="007C32C0" w:rsidRPr="00810C9D">
        <w:t xml:space="preserve"> concernant le fait de « coordonner les activités des établissements et des organismes communautaires »</w:t>
      </w:r>
      <w:r w:rsidR="00BB6570" w:rsidRPr="00810C9D">
        <w:t>. Considérant que les établissements</w:t>
      </w:r>
      <w:r w:rsidR="007D769B">
        <w:t>,</w:t>
      </w:r>
      <w:r w:rsidR="00BB6570" w:rsidRPr="00810C9D">
        <w:t xml:space="preserve"> dont il est fait mention à cet article de loi</w:t>
      </w:r>
      <w:r w:rsidR="007D769B">
        <w:t>,</w:t>
      </w:r>
      <w:r w:rsidR="00BB6570" w:rsidRPr="00810C9D">
        <w:t xml:space="preserve"> seront fusionnés en une seule instance, soit celle responsable de l</w:t>
      </w:r>
      <w:r w:rsidR="00DE31C1">
        <w:t>’application de cet article de l</w:t>
      </w:r>
      <w:r w:rsidR="00BB6570" w:rsidRPr="00810C9D">
        <w:t xml:space="preserve">oi, qu’est-ce que cela signifie? Est-ce qu’on pense à coordonner les activités des organismes communautaires </w:t>
      </w:r>
      <w:r w:rsidR="007D769B">
        <w:t>d’une région</w:t>
      </w:r>
      <w:r w:rsidR="005A1776">
        <w:t>?</w:t>
      </w:r>
      <w:r w:rsidR="007D769B">
        <w:t xml:space="preserve"> </w:t>
      </w:r>
      <w:r w:rsidR="00BB6570" w:rsidRPr="00810C9D">
        <w:t>Est-ce qu’on pense plutôt coordonner les activités entre les organismes communautaires et les différents centres de services de l’établissement régional? Cette section n’est pas claire pour nous.</w:t>
      </w:r>
    </w:p>
    <w:p w:rsidR="00B14673" w:rsidRPr="00810C9D" w:rsidRDefault="001F78B9" w:rsidP="001F78B9">
      <w:r w:rsidRPr="00810C9D">
        <w:t>L</w:t>
      </w:r>
      <w:r w:rsidR="00BB6570" w:rsidRPr="00810C9D">
        <w:t>e reste de l’article</w:t>
      </w:r>
      <w:r w:rsidR="005A1776">
        <w:t> </w:t>
      </w:r>
      <w:r w:rsidR="00BB6570" w:rsidRPr="00810C9D">
        <w:t xml:space="preserve">352 parle de </w:t>
      </w:r>
      <w:r w:rsidRPr="00810C9D">
        <w:t>favoriser</w:t>
      </w:r>
      <w:r w:rsidR="00B14673" w:rsidRPr="00810C9D">
        <w:t> :</w:t>
      </w:r>
    </w:p>
    <w:p w:rsidR="00B14673" w:rsidRPr="00810C9D" w:rsidRDefault="001F78B9" w:rsidP="00B14673">
      <w:pPr>
        <w:ind w:left="708"/>
      </w:pPr>
      <w:r w:rsidRPr="00810C9D">
        <w:t>« la concertation et la collaboration en vue d</w:t>
      </w:r>
      <w:r w:rsidR="005A1776">
        <w:t>’</w:t>
      </w:r>
      <w:r w:rsidRPr="00810C9D">
        <w:t xml:space="preserve">assurer une utilisation rationnelle et une répartition équitable des ressources de façon à tenir compte de la complémentarité des établissements, des centres médicaux spécialisés, des organismes et des cabinets, à éliminer entre eux les dédoublements et à permettre la mise en place de services communs ». </w:t>
      </w:r>
    </w:p>
    <w:p w:rsidR="00BB6570" w:rsidRPr="00810C9D" w:rsidRDefault="008F7633" w:rsidP="00B14673">
      <w:r w:rsidRPr="00810C9D">
        <w:t>L</w:t>
      </w:r>
      <w:r w:rsidR="00B14673" w:rsidRPr="00810C9D">
        <w:t xml:space="preserve">es </w:t>
      </w:r>
      <w:r w:rsidR="004B0FA7">
        <w:t xml:space="preserve">regroupements régionaux </w:t>
      </w:r>
      <w:r w:rsidR="00B14673" w:rsidRPr="00810C9D">
        <w:t>membres de la CTROC ont</w:t>
      </w:r>
      <w:r w:rsidR="004B0FA7">
        <w:t>,</w:t>
      </w:r>
      <w:r w:rsidR="00B14673" w:rsidRPr="00810C9D">
        <w:t xml:space="preserve"> entre autres</w:t>
      </w:r>
      <w:r w:rsidR="004B0FA7">
        <w:t>,</w:t>
      </w:r>
      <w:r w:rsidR="00B14673" w:rsidRPr="00810C9D">
        <w:t xml:space="preserve"> pour mission de favoriser la concertation entre les organismes communautaires. Est-ce que ce</w:t>
      </w:r>
      <w:r w:rsidR="004B0FA7">
        <w:t xml:space="preserve"> rôle</w:t>
      </w:r>
      <w:r w:rsidR="00B14673" w:rsidRPr="00810C9D">
        <w:t xml:space="preserve"> sera </w:t>
      </w:r>
      <w:r w:rsidR="004B0FA7">
        <w:t xml:space="preserve">reconnu </w:t>
      </w:r>
      <w:r w:rsidR="00B14673" w:rsidRPr="00810C9D">
        <w:t>par l’instance régionale?</w:t>
      </w:r>
    </w:p>
    <w:p w:rsidR="00B36778" w:rsidRDefault="00E3099A" w:rsidP="001C5B53">
      <w:r w:rsidRPr="00810C9D">
        <w:t xml:space="preserve">Comment l’établissement régional </w:t>
      </w:r>
      <w:r w:rsidR="004B0FA7">
        <w:t>pourrai</w:t>
      </w:r>
      <w:r w:rsidR="004B0FA7" w:rsidRPr="00810C9D">
        <w:t>t-il</w:t>
      </w:r>
      <w:r w:rsidRPr="00810C9D">
        <w:t xml:space="preserve"> s’assurer d’une utilisation rationnelle et </w:t>
      </w:r>
      <w:r w:rsidR="004B0FA7">
        <w:t>d’</w:t>
      </w:r>
      <w:r w:rsidRPr="00810C9D">
        <w:t>une répartition équitable des ressources octroyées aux organismes communautaire</w:t>
      </w:r>
      <w:r w:rsidR="005A1776">
        <w:t xml:space="preserve">s </w:t>
      </w:r>
      <w:r w:rsidRPr="00810C9D">
        <w:t>si les règles quant à l’octroi des subventions aux organismes sont établi</w:t>
      </w:r>
      <w:r w:rsidR="002D38F0" w:rsidRPr="00810C9D">
        <w:t>es</w:t>
      </w:r>
      <w:r w:rsidRPr="00810C9D">
        <w:t xml:space="preserve"> par le ministre? </w:t>
      </w:r>
      <w:r w:rsidR="002D38F0" w:rsidRPr="00810C9D">
        <w:t xml:space="preserve">C’est une question </w:t>
      </w:r>
      <w:r w:rsidR="004B0FA7">
        <w:t>importante</w:t>
      </w:r>
      <w:r w:rsidR="00F95FF6" w:rsidRPr="00810C9D">
        <w:t>.</w:t>
      </w:r>
    </w:p>
    <w:p w:rsidR="00B36778" w:rsidRDefault="00810C9D" w:rsidP="001C5B53">
      <w:r>
        <w:t xml:space="preserve">Si l’on poursuit spécifiquement sur le financement </w:t>
      </w:r>
      <w:r w:rsidR="000B3397">
        <w:t>des organismes communautaires, i</w:t>
      </w:r>
      <w:r w:rsidR="009C1228">
        <w:t>l sub</w:t>
      </w:r>
      <w:r w:rsidR="00B36778">
        <w:t>siste un</w:t>
      </w:r>
      <w:r w:rsidR="00B76FA5">
        <w:t>e</w:t>
      </w:r>
      <w:r w:rsidR="00B36778">
        <w:t xml:space="preserve"> confusion quant à l’étanchéité du financement à la mission </w:t>
      </w:r>
      <w:r w:rsidR="009C1228">
        <w:t xml:space="preserve">qui </w:t>
      </w:r>
      <w:r w:rsidR="000B3397">
        <w:t xml:space="preserve">est alloué </w:t>
      </w:r>
      <w:r w:rsidR="004B0FA7">
        <w:t>via le PSOC</w:t>
      </w:r>
      <w:r w:rsidR="00B36778">
        <w:t xml:space="preserve"> et l’octroi de financement pour des a</w:t>
      </w:r>
      <w:r w:rsidR="004B0FA7">
        <w:t>ctivités offertes en vertu d’</w:t>
      </w:r>
      <w:r w:rsidR="00B36778">
        <w:t>entente</w:t>
      </w:r>
      <w:r w:rsidR="004B0FA7">
        <w:t>s</w:t>
      </w:r>
      <w:r w:rsidR="00B36778">
        <w:t xml:space="preserve"> de services, </w:t>
      </w:r>
      <w:r w:rsidR="004B0FA7">
        <w:t xml:space="preserve">les deux types de financements étant </w:t>
      </w:r>
      <w:r w:rsidR="00B36778">
        <w:t>géré</w:t>
      </w:r>
      <w:r w:rsidR="004B0FA7">
        <w:t>s</w:t>
      </w:r>
      <w:r w:rsidR="00B36778">
        <w:t xml:space="preserve"> par l’établissement régional</w:t>
      </w:r>
      <w:r w:rsidR="00DE31C1">
        <w:t xml:space="preserve"> selon le projet de l</w:t>
      </w:r>
      <w:r w:rsidR="008027CC">
        <w:t>oi</w:t>
      </w:r>
      <w:r w:rsidR="00B36778">
        <w:t>.</w:t>
      </w:r>
      <w:r w:rsidR="004B0FA7">
        <w:t xml:space="preserve"> </w:t>
      </w:r>
      <w:r w:rsidR="009C1228">
        <w:t>Nous le répétons, l</w:t>
      </w:r>
      <w:r w:rsidR="000B3397">
        <w:t>e financement des organismes communautaires</w:t>
      </w:r>
      <w:r w:rsidR="004B0FA7">
        <w:t>,</w:t>
      </w:r>
      <w:r w:rsidR="000B3397">
        <w:t xml:space="preserve"> dans le réseau de la santé et des services sociaux</w:t>
      </w:r>
      <w:r w:rsidR="004B0FA7">
        <w:t>,</w:t>
      </w:r>
      <w:r w:rsidR="000B3397">
        <w:t xml:space="preserve"> peut prendre plusieurs formes et </w:t>
      </w:r>
      <w:r w:rsidR="00DE31C1">
        <w:t>la l</w:t>
      </w:r>
      <w:r w:rsidR="004B0FA7">
        <w:t>oi</w:t>
      </w:r>
      <w:r w:rsidR="000B3397">
        <w:t xml:space="preserve"> doit en tenir compte. </w:t>
      </w:r>
    </w:p>
    <w:p w:rsidR="00C344A8" w:rsidRDefault="000B3397" w:rsidP="001C5B53">
      <w:r>
        <w:lastRenderedPageBreak/>
        <w:t>Par exemple, j</w:t>
      </w:r>
      <w:r w:rsidR="00B36778">
        <w:t>usqu’à présent, les organi</w:t>
      </w:r>
      <w:r w:rsidR="00194CDE">
        <w:t>smes communautaires qui le désir</w:t>
      </w:r>
      <w:r w:rsidR="004B0FA7">
        <w:t>ent</w:t>
      </w:r>
      <w:r w:rsidR="00B36778">
        <w:t xml:space="preserve"> p</w:t>
      </w:r>
      <w:r w:rsidR="00194CDE">
        <w:t>e</w:t>
      </w:r>
      <w:r w:rsidR="00B36778">
        <w:t xml:space="preserve">uvent </w:t>
      </w:r>
      <w:r w:rsidR="00B14673">
        <w:t>signer</w:t>
      </w:r>
      <w:r w:rsidR="00B36778">
        <w:t xml:space="preserve"> une (ou des) entente(s) de services avec l’établissement lo</w:t>
      </w:r>
      <w:r w:rsidR="00194CDE">
        <w:t>cal</w:t>
      </w:r>
      <w:r w:rsidR="004B0FA7">
        <w:t>,</w:t>
      </w:r>
      <w:r w:rsidR="00194CDE">
        <w:t xml:space="preserve"> en vertu de l’article</w:t>
      </w:r>
      <w:r w:rsidR="005A1776">
        <w:t> </w:t>
      </w:r>
      <w:r w:rsidR="00194CDE">
        <w:t xml:space="preserve">108 de la LSSS. Cette entente doit avoir pour objectif </w:t>
      </w:r>
      <w:r w:rsidR="00194CDE" w:rsidRPr="00194CDE">
        <w:t>la prestation ou l</w:t>
      </w:r>
      <w:r w:rsidR="005A1776">
        <w:t>’</w:t>
      </w:r>
      <w:r w:rsidR="00194CDE" w:rsidRPr="00194CDE">
        <w:t>échange de services professionnels en matière de services de santé ou de services sociau</w:t>
      </w:r>
      <w:r w:rsidR="00194CDE">
        <w:t xml:space="preserve">x. </w:t>
      </w:r>
      <w:r w:rsidR="00194CDE" w:rsidRPr="00B14673">
        <w:t>L’article</w:t>
      </w:r>
      <w:r w:rsidR="005A1776">
        <w:t> </w:t>
      </w:r>
      <w:r w:rsidR="00194CDE" w:rsidRPr="00B14673">
        <w:t>108</w:t>
      </w:r>
      <w:r w:rsidR="007B7F8D" w:rsidRPr="00B14673">
        <w:t>,</w:t>
      </w:r>
      <w:r w:rsidR="00194CDE" w:rsidRPr="00B14673">
        <w:t xml:space="preserve"> alinéa</w:t>
      </w:r>
      <w:r w:rsidR="005A1776">
        <w:t> </w:t>
      </w:r>
      <w:r w:rsidR="00194CDE" w:rsidRPr="00B14673">
        <w:t>6 mentionne aussi que l’entente doit respecter les orientations, les politiques et les approches que se donne l</w:t>
      </w:r>
      <w:r w:rsidR="005A1776">
        <w:t>’</w:t>
      </w:r>
      <w:r w:rsidR="00194CDE" w:rsidRPr="00B14673">
        <w:t>organisme communautaire.</w:t>
      </w:r>
      <w:r w:rsidR="00B14673">
        <w:t xml:space="preserve"> </w:t>
      </w:r>
      <w:r w:rsidR="00B15A9F">
        <w:t xml:space="preserve">Les </w:t>
      </w:r>
      <w:r w:rsidR="00B76FA5">
        <w:t>modalités de l’</w:t>
      </w:r>
      <w:r w:rsidR="00CF33F6">
        <w:t>entente sont</w:t>
      </w:r>
      <w:r w:rsidR="00B76FA5">
        <w:t xml:space="preserve"> entendues entre l’instance locale et l’organisme</w:t>
      </w:r>
      <w:r w:rsidR="004B0FA7">
        <w:t>,</w:t>
      </w:r>
      <w:r w:rsidR="00B76FA5">
        <w:t xml:space="preserve"> que ce soit sur le type d’offre de services, la fréquence, le type de clientèle</w:t>
      </w:r>
      <w:r w:rsidR="004B0FA7">
        <w:t>,</w:t>
      </w:r>
      <w:r w:rsidR="00B76FA5">
        <w:t xml:space="preserve"> etc. Lorsque l’entente prévoit du financement, les </w:t>
      </w:r>
      <w:r w:rsidR="00B15A9F">
        <w:t>sommes prévues sont alors versé</w:t>
      </w:r>
      <w:r w:rsidR="00F81B20">
        <w:t>es</w:t>
      </w:r>
      <w:r w:rsidR="00B15A9F">
        <w:t xml:space="preserve"> par l’</w:t>
      </w:r>
      <w:r w:rsidR="00B76FA5">
        <w:t>instance locale.</w:t>
      </w:r>
      <w:r w:rsidR="00B14673">
        <w:t xml:space="preserve"> </w:t>
      </w:r>
      <w:r w:rsidR="00B76FA5" w:rsidRPr="00B14673">
        <w:t>L’objectif de ces ententes est d’offrir un service qui répond</w:t>
      </w:r>
      <w:r w:rsidR="00F81B20">
        <w:t xml:space="preserve"> (</w:t>
      </w:r>
      <w:r w:rsidR="00B76FA5" w:rsidRPr="00B14673">
        <w:t>en tout ou en parti</w:t>
      </w:r>
      <w:r w:rsidR="00F81B20">
        <w:t>e)</w:t>
      </w:r>
      <w:r w:rsidR="00B76FA5" w:rsidRPr="00B14673">
        <w:t xml:space="preserve"> ou compl</w:t>
      </w:r>
      <w:r w:rsidR="00C344A8" w:rsidRPr="00B14673">
        <w:t>émente, l</w:t>
      </w:r>
      <w:r w:rsidR="004B0FA7">
        <w:t>’offre</w:t>
      </w:r>
      <w:r w:rsidR="00C344A8" w:rsidRPr="00B14673">
        <w:t xml:space="preserve"> de services et c’est à ce titre que l’instance local</w:t>
      </w:r>
      <w:r w:rsidR="005A1776">
        <w:t xml:space="preserve">e </w:t>
      </w:r>
      <w:r w:rsidR="00C344A8" w:rsidRPr="00B14673">
        <w:t>finance l’organisme communautaire.</w:t>
      </w:r>
      <w:r w:rsidR="00695FAA" w:rsidRPr="00B14673">
        <w:t xml:space="preserve"> </w:t>
      </w:r>
    </w:p>
    <w:p w:rsidR="000B3397" w:rsidRDefault="000B3397" w:rsidP="001C5B53">
      <w:r>
        <w:t xml:space="preserve">Aussi, les </w:t>
      </w:r>
      <w:r w:rsidR="004B0FA7">
        <w:t xml:space="preserve">organismes communautaires ont </w:t>
      </w:r>
      <w:r>
        <w:t xml:space="preserve">accès à certaines enveloppes pour du financement par projet </w:t>
      </w:r>
      <w:r w:rsidR="004B0FA7">
        <w:t>via diverse</w:t>
      </w:r>
      <w:r>
        <w:t xml:space="preserve">s structures de concertation (Tables d’action préventive jeunesse), ou par </w:t>
      </w:r>
      <w:r w:rsidR="004B0FA7">
        <w:t xml:space="preserve">le biais de </w:t>
      </w:r>
      <w:r>
        <w:t>la Santé publique par exemple (projets en sécurité alimentaire ou en prévention des ITSS).</w:t>
      </w:r>
    </w:p>
    <w:p w:rsidR="009C1228" w:rsidRDefault="009C1228" w:rsidP="001C5B53">
      <w:r>
        <w:t>Contrairement à ces financements qui sont liés à des activités précises, l</w:t>
      </w:r>
      <w:r w:rsidR="003008E5">
        <w:t>e PSOC</w:t>
      </w:r>
      <w:r w:rsidR="004B0FA7">
        <w:t>,</w:t>
      </w:r>
      <w:r w:rsidR="003008E5">
        <w:t xml:space="preserve"> quant à lui</w:t>
      </w:r>
      <w:r w:rsidR="004B0FA7">
        <w:t>,</w:t>
      </w:r>
      <w:r w:rsidR="003008E5">
        <w:t xml:space="preserve"> vise à financer la mission de l’organisme communautaire.</w:t>
      </w:r>
      <w:r w:rsidR="003C342A">
        <w:t xml:space="preserve"> </w:t>
      </w:r>
      <w:r w:rsidR="0056144F">
        <w:t>Ce financement gé</w:t>
      </w:r>
      <w:r w:rsidR="003C342A" w:rsidRPr="003C342A">
        <w:t>ré par les Agences</w:t>
      </w:r>
      <w:r w:rsidR="0056144F">
        <w:t xml:space="preserve"> est celui qui, dans le champ de la santé et des services sociaux, prend le plus en compte l’identité des organismes communautaires</w:t>
      </w:r>
      <w:r w:rsidR="003C342A" w:rsidRPr="003C342A">
        <w:t>.</w:t>
      </w:r>
      <w:r w:rsidR="003008E5">
        <w:t xml:space="preserve"> </w:t>
      </w:r>
    </w:p>
    <w:p w:rsidR="009C1228" w:rsidRDefault="009C1228" w:rsidP="009C1228">
      <w:r>
        <w:t>Par financement à la mission on entend selon la brochure PSOC</w:t>
      </w:r>
      <w:r>
        <w:rPr>
          <w:rStyle w:val="Appelnotedebasdep"/>
        </w:rPr>
        <w:footnoteReference w:id="3"/>
      </w:r>
    </w:p>
    <w:p w:rsidR="009C1228" w:rsidRDefault="009C1228" w:rsidP="009C1228">
      <w:pPr>
        <w:ind w:left="708"/>
      </w:pPr>
      <w:r>
        <w:t>«</w:t>
      </w:r>
      <w:r w:rsidR="005A1776">
        <w:t> L</w:t>
      </w:r>
      <w:r>
        <w:t>es montants nécessaires à son infrastructure de base (par exemple : local, administration, secrétariat, communications, équipements adaptés, le cas échéant, etc.);</w:t>
      </w:r>
    </w:p>
    <w:p w:rsidR="009C1228" w:rsidRDefault="009C1228" w:rsidP="009C1228">
      <w:pPr>
        <w:ind w:left="708"/>
      </w:pPr>
      <w:r>
        <w:t>Les montants nécessaires à l’accomplissement de sa mission (notamment salaires, organisation des services et des activités éducatives, concertation, représentation, mobilisation et vie associative, s’il y a lieu). »</w:t>
      </w:r>
    </w:p>
    <w:p w:rsidR="009C1228" w:rsidRDefault="009C1228" w:rsidP="009C1228">
      <w:r>
        <w:t>Il ne s’agit donc pas « d’achat de services », comme l’est l’entente de service avec l’instance locale, mais d’un soutien qui permet à l’organisme de se doter d’une organisation minimale (ou nécessaire) pour réaliser cette mission. Une mission qui favorise la vie démocratique et associative, les approches alternatives et globales, etc.</w:t>
      </w:r>
    </w:p>
    <w:p w:rsidR="003C342A" w:rsidRDefault="009C1228" w:rsidP="001C5B53">
      <w:r>
        <w:t>Notons par ailleurs qu’i</w:t>
      </w:r>
      <w:r w:rsidR="003008E5">
        <w:t xml:space="preserve">l existe trois modes de financement au sein de ce </w:t>
      </w:r>
      <w:r w:rsidR="0056144F">
        <w:t>«</w:t>
      </w:r>
      <w:r w:rsidR="005A1776">
        <w:t> p</w:t>
      </w:r>
      <w:r w:rsidR="003008E5">
        <w:t>rogramme</w:t>
      </w:r>
      <w:r w:rsidR="005A1776">
        <w:t> »</w:t>
      </w:r>
      <w:r w:rsidR="003C342A">
        <w:t>, conformément à la Politique gouvernemental</w:t>
      </w:r>
      <w:r w:rsidR="005A1776">
        <w:t xml:space="preserve">e </w:t>
      </w:r>
      <w:r w:rsidR="003C342A">
        <w:t>en matière d’action communautaire</w:t>
      </w:r>
      <w:r w:rsidR="00CF33F6">
        <w:rPr>
          <w:rStyle w:val="Appelnotedebasdep"/>
        </w:rPr>
        <w:footnoteReference w:id="4"/>
      </w:r>
      <w:r w:rsidR="004B0FA7">
        <w:t>,</w:t>
      </w:r>
      <w:r w:rsidR="003C342A">
        <w:t xml:space="preserve"> </w:t>
      </w:r>
      <w:r w:rsidR="003008E5">
        <w:t>soit : soutien à la mission globale, soutien pour un projet ponctuel ou de courte durée et</w:t>
      </w:r>
      <w:r w:rsidR="00147CC2">
        <w:t xml:space="preserve"> soutien dans le cadre d’une</w:t>
      </w:r>
      <w:r w:rsidR="003008E5">
        <w:t xml:space="preserve"> entente spécifique.</w:t>
      </w:r>
      <w:r w:rsidR="00C9510F">
        <w:t xml:space="preserve"> </w:t>
      </w:r>
    </w:p>
    <w:p w:rsidR="00BB3A0E" w:rsidRDefault="009C1228" w:rsidP="009E46BB">
      <w:r>
        <w:lastRenderedPageBreak/>
        <w:t>L</w:t>
      </w:r>
      <w:r w:rsidR="004B0FA7">
        <w:t>e financement en</w:t>
      </w:r>
      <w:r w:rsidR="00C9510F">
        <w:t xml:space="preserve"> entente spécifique peut être octroyé pour permettre à un organisme de mettre en œuvre des orientations décou</w:t>
      </w:r>
      <w:r w:rsidR="00BB3A0E">
        <w:t>lant de priorité ministérielle. Il peut l’être tout autant pour répondre à une priorité identifié</w:t>
      </w:r>
      <w:r w:rsidR="002D38F0">
        <w:t>e</w:t>
      </w:r>
      <w:r w:rsidR="00BB3A0E">
        <w:t xml:space="preserve"> dans le plan d’action régional. Dans ces cas, les Agences ont le pouvoir de déterminer les résultats attendus, si cela s’avère nécessaire.</w:t>
      </w:r>
    </w:p>
    <w:p w:rsidR="00C4664F" w:rsidRDefault="009C1228" w:rsidP="004E53BF">
      <w:pPr>
        <w:rPr>
          <w:highlight w:val="yellow"/>
        </w:rPr>
      </w:pPr>
      <w:r>
        <w:t>Aussi, l</w:t>
      </w:r>
      <w:r w:rsidR="004E53BF" w:rsidRPr="004E53BF">
        <w:t>’article</w:t>
      </w:r>
      <w:r w:rsidR="005A1776">
        <w:t> </w:t>
      </w:r>
      <w:r w:rsidR="004E53BF" w:rsidRPr="004E53BF">
        <w:t>34 mentionne que les articles</w:t>
      </w:r>
      <w:r w:rsidR="005A1776">
        <w:t> </w:t>
      </w:r>
      <w:r w:rsidR="004E53BF" w:rsidRPr="004E53BF">
        <w:t>99.5 à 99.8 de la LSSS s’appliquent à l’établissement régional. Le projet de loi vient donc donner</w:t>
      </w:r>
      <w:r>
        <w:t xml:space="preserve"> au CISSS</w:t>
      </w:r>
      <w:r w:rsidR="004E53BF" w:rsidRPr="004E53BF">
        <w:t xml:space="preserve"> la responsabilité de définir un projet clinique et organisationnel</w:t>
      </w:r>
      <w:r w:rsidR="00B14673">
        <w:t xml:space="preserve">. </w:t>
      </w:r>
      <w:r w:rsidR="004E53BF">
        <w:t>En ce sens</w:t>
      </w:r>
      <w:r w:rsidR="00B14673">
        <w:t>,</w:t>
      </w:r>
      <w:r w:rsidR="004E53BF">
        <w:t xml:space="preserve"> l</w:t>
      </w:r>
      <w:r w:rsidR="004E53BF" w:rsidRPr="004E53BF">
        <w:t>a coordination des services, qui revient à l’instance régional</w:t>
      </w:r>
      <w:r w:rsidR="00E2539A">
        <w:t>e</w:t>
      </w:r>
      <w:r w:rsidR="004E53BF" w:rsidRPr="004E53BF">
        <w:t xml:space="preserve">, implique </w:t>
      </w:r>
      <w:r w:rsidR="00C4664F">
        <w:t xml:space="preserve">de : </w:t>
      </w:r>
    </w:p>
    <w:p w:rsidR="004E53BF" w:rsidRDefault="00C4664F" w:rsidP="00C4664F">
      <w:pPr>
        <w:ind w:left="708"/>
      </w:pPr>
      <w:r w:rsidRPr="00C4664F">
        <w:t>«</w:t>
      </w:r>
      <w:r w:rsidR="005A1776">
        <w:t> …</w:t>
      </w:r>
      <w:r w:rsidRPr="00C4664F">
        <w:t> </w:t>
      </w:r>
      <w:r w:rsidR="004E53BF" w:rsidRPr="00C4664F">
        <w:t xml:space="preserve">instaurer des mécanismes ou conclure des ententes avec les différents producteurs de services ou partenaires que sont, notamment, les établissements offrant des services spécialisés ou surspécialisés, les médecins du territoire, </w:t>
      </w:r>
      <w:r w:rsidR="004E53BF" w:rsidRPr="00C4664F">
        <w:rPr>
          <w:u w:val="single"/>
        </w:rPr>
        <w:t>les organismes communautaires</w:t>
      </w:r>
      <w:r w:rsidR="004E53BF" w:rsidRPr="00C4664F">
        <w:t xml:space="preserve"> </w:t>
      </w:r>
      <w:r>
        <w:t>[</w:t>
      </w:r>
      <w:r w:rsidRPr="00C4664F">
        <w:t>notre soulignement</w:t>
      </w:r>
      <w:r>
        <w:t>]</w:t>
      </w:r>
      <w:r w:rsidR="004E53BF" w:rsidRPr="00C4664F">
        <w:t>, les entreprises d</w:t>
      </w:r>
      <w:r w:rsidR="005A1776">
        <w:t>’</w:t>
      </w:r>
      <w:r w:rsidR="004E53BF" w:rsidRPr="00C4664F">
        <w:t>économie sociale et les ressources privées;</w:t>
      </w:r>
      <w:r>
        <w:t xml:space="preserve"> </w:t>
      </w:r>
      <w:r w:rsidR="004E53BF" w:rsidRPr="00C4664F">
        <w:t>(LSSS art. 99.7</w:t>
      </w:r>
      <w:r>
        <w:t>, alinéa</w:t>
      </w:r>
      <w:r w:rsidR="005A1776">
        <w:t> </w:t>
      </w:r>
      <w:r w:rsidR="004E53BF" w:rsidRPr="00C4664F">
        <w:t>2).</w:t>
      </w:r>
    </w:p>
    <w:p w:rsidR="004E53BF" w:rsidRDefault="004E53BF" w:rsidP="004E53BF">
      <w:r w:rsidRPr="00CE7B68">
        <w:t xml:space="preserve">Or, en vertu du présent projet de loi, l’instance régionale sera </w:t>
      </w:r>
      <w:r w:rsidR="00CE7B68" w:rsidRPr="00CE7B68">
        <w:t>à la fois</w:t>
      </w:r>
      <w:r w:rsidR="008F7633" w:rsidRPr="00CE7B68">
        <w:t xml:space="preserve"> </w:t>
      </w:r>
      <w:r w:rsidRPr="00CE7B68">
        <w:t>responsable de signer des ententes de services avec les organismes communautaires</w:t>
      </w:r>
      <w:r w:rsidR="009C1228">
        <w:t>, le premier type de financement identifié plus haut et anciennement attribué par les CSSS</w:t>
      </w:r>
      <w:r w:rsidRPr="00CE7B68">
        <w:t>, mais aussi d’</w:t>
      </w:r>
      <w:r w:rsidR="00CE7B68" w:rsidRPr="00CE7B68">
        <w:t>allouer</w:t>
      </w:r>
      <w:r w:rsidRPr="00CE7B68">
        <w:t xml:space="preserve"> le financement du PSOC</w:t>
      </w:r>
      <w:r w:rsidR="00D7459E">
        <w:t>, actuellement attribué par les Agences</w:t>
      </w:r>
      <w:r w:rsidRPr="00CE7B68">
        <w:t>.</w:t>
      </w:r>
      <w:r w:rsidR="00695FAA">
        <w:t xml:space="preserve"> </w:t>
      </w:r>
    </w:p>
    <w:p w:rsidR="00781C0B" w:rsidRDefault="008027CC" w:rsidP="00BB3A0E">
      <w:r>
        <w:t>Afin d’éviter toute forme d’ambiguïté,</w:t>
      </w:r>
      <w:r w:rsidR="00D2267C">
        <w:t xml:space="preserve"> il est important que le </w:t>
      </w:r>
      <w:r w:rsidR="00302058">
        <w:t>Programme de soutien aux organismes communautaires (</w:t>
      </w:r>
      <w:r w:rsidR="00D2267C">
        <w:t>PSOC</w:t>
      </w:r>
      <w:r w:rsidR="00302058">
        <w:t>)</w:t>
      </w:r>
      <w:r w:rsidR="005D0283">
        <w:t xml:space="preserve"> s</w:t>
      </w:r>
      <w:r w:rsidR="00D2267C">
        <w:t xml:space="preserve">oit </w:t>
      </w:r>
      <w:r w:rsidR="00F81B20">
        <w:t>gér</w:t>
      </w:r>
      <w:r w:rsidR="005A1776">
        <w:t>é</w:t>
      </w:r>
      <w:r w:rsidR="00D2267C">
        <w:t xml:space="preserve"> par un département distinct</w:t>
      </w:r>
      <w:r w:rsidR="00A63F48">
        <w:t xml:space="preserve"> de ceux chargés des</w:t>
      </w:r>
      <w:r w:rsidR="00D2267C">
        <w:t xml:space="preserve"> autres modes de financement touchant les organismes communautaires. </w:t>
      </w:r>
      <w:r w:rsidR="0056144F">
        <w:t>Concernant cela</w:t>
      </w:r>
      <w:r w:rsidR="00D2267C">
        <w:t xml:space="preserve">, le ministre est </w:t>
      </w:r>
      <w:r w:rsidR="005D0283">
        <w:t>encouragé</w:t>
      </w:r>
      <w:r w:rsidR="00D2267C">
        <w:t xml:space="preserve"> à considérer la possibilité de faire du </w:t>
      </w:r>
      <w:r w:rsidR="00302058">
        <w:t xml:space="preserve">PSOC </w:t>
      </w:r>
      <w:r w:rsidR="0056144F">
        <w:t>un programme national dédié.</w:t>
      </w:r>
    </w:p>
    <w:p w:rsidR="005D0283" w:rsidRDefault="005D0283" w:rsidP="00BB3A0E"/>
    <w:p w:rsidR="008F598C" w:rsidRPr="008F598C" w:rsidRDefault="00477EC8" w:rsidP="008F598C">
      <w:pPr>
        <w:pBdr>
          <w:top w:val="single" w:sz="4" w:space="1" w:color="auto"/>
          <w:left w:val="single" w:sz="4" w:space="4" w:color="auto"/>
          <w:bottom w:val="single" w:sz="4" w:space="1" w:color="auto"/>
          <w:right w:val="single" w:sz="4" w:space="4" w:color="auto"/>
        </w:pBdr>
        <w:rPr>
          <w:b/>
        </w:rPr>
      </w:pPr>
      <w:r>
        <w:rPr>
          <w:b/>
        </w:rPr>
        <w:t>Recommandation</w:t>
      </w:r>
      <w:r w:rsidR="005A1776">
        <w:rPr>
          <w:b/>
        </w:rPr>
        <w:t> </w:t>
      </w:r>
      <w:r>
        <w:rPr>
          <w:b/>
        </w:rPr>
        <w:t>6</w:t>
      </w:r>
    </w:p>
    <w:p w:rsidR="00BB3A0E" w:rsidRDefault="00781C0B" w:rsidP="008F598C">
      <w:pPr>
        <w:pBdr>
          <w:top w:val="single" w:sz="4" w:space="1" w:color="auto"/>
          <w:left w:val="single" w:sz="4" w:space="4" w:color="auto"/>
          <w:bottom w:val="single" w:sz="4" w:space="1" w:color="auto"/>
          <w:right w:val="single" w:sz="4" w:space="4" w:color="auto"/>
        </w:pBdr>
        <w:rPr>
          <w:b/>
        </w:rPr>
      </w:pPr>
      <w:r w:rsidRPr="008F598C">
        <w:rPr>
          <w:b/>
        </w:rPr>
        <w:t>N</w:t>
      </w:r>
      <w:r w:rsidR="008027CC" w:rsidRPr="008F598C">
        <w:rPr>
          <w:b/>
        </w:rPr>
        <w:t>ous recommandons qu</w:t>
      </w:r>
      <w:r w:rsidR="00A55F1C" w:rsidRPr="008F598C">
        <w:rPr>
          <w:b/>
        </w:rPr>
        <w:t>e le PSOC soit géré</w:t>
      </w:r>
      <w:r w:rsidR="00D7459E">
        <w:rPr>
          <w:b/>
        </w:rPr>
        <w:t xml:space="preserve"> par un département distinct de</w:t>
      </w:r>
      <w:r w:rsidR="00C4664F" w:rsidRPr="008F598C">
        <w:rPr>
          <w:b/>
        </w:rPr>
        <w:t xml:space="preserve"> celui qui sera </w:t>
      </w:r>
      <w:r w:rsidR="005A1776">
        <w:rPr>
          <w:b/>
        </w:rPr>
        <w:t>responsabl</w:t>
      </w:r>
      <w:r w:rsidR="00C4664F" w:rsidRPr="008F598C">
        <w:rPr>
          <w:b/>
        </w:rPr>
        <w:t>e des</w:t>
      </w:r>
      <w:r w:rsidR="00A55F1C" w:rsidRPr="008F598C">
        <w:rPr>
          <w:b/>
        </w:rPr>
        <w:t xml:space="preserve"> autres </w:t>
      </w:r>
      <w:r w:rsidR="0056144F">
        <w:rPr>
          <w:b/>
        </w:rPr>
        <w:t>formes</w:t>
      </w:r>
      <w:r w:rsidR="00A55F1C" w:rsidRPr="008F598C">
        <w:rPr>
          <w:b/>
        </w:rPr>
        <w:t xml:space="preserve"> de financement qui peuvent toucher les organismes communautaires (ententes de services, financement par projet en santé publique, etc.).</w:t>
      </w:r>
    </w:p>
    <w:p w:rsidR="000D5720" w:rsidRDefault="000D5720" w:rsidP="00EA7134">
      <w:pPr>
        <w:pStyle w:val="Titre3"/>
      </w:pPr>
    </w:p>
    <w:p w:rsidR="00EA7134" w:rsidRDefault="00A03133" w:rsidP="004B3AE4">
      <w:pPr>
        <w:pStyle w:val="Titre3"/>
        <w:spacing w:after="240"/>
      </w:pPr>
      <w:bookmarkStart w:id="6" w:name="_Toc403383310"/>
      <w:r>
        <w:t>4.1</w:t>
      </w:r>
      <w:r w:rsidR="000F0669">
        <w:t xml:space="preserve"> </w:t>
      </w:r>
      <w:r w:rsidR="00EA7134">
        <w:t>La gestion budgétaire par programme</w:t>
      </w:r>
      <w:r w:rsidR="005A1776">
        <w:t xml:space="preserve"> </w:t>
      </w:r>
      <w:r w:rsidR="00EA7134">
        <w:t>service</w:t>
      </w:r>
      <w:bookmarkEnd w:id="6"/>
    </w:p>
    <w:p w:rsidR="00014644" w:rsidRDefault="00EA7134" w:rsidP="00BB3A0E">
      <w:r>
        <w:t>L’article</w:t>
      </w:r>
      <w:r w:rsidR="005A1776">
        <w:t> </w:t>
      </w:r>
      <w:r>
        <w:t xml:space="preserve">25 prévoit que le conseil d’administration </w:t>
      </w:r>
      <w:r w:rsidR="005D0283">
        <w:t xml:space="preserve">d’un CISSS </w:t>
      </w:r>
      <w:r>
        <w:t>répartisse les enveloppes</w:t>
      </w:r>
      <w:r w:rsidR="00D7459E">
        <w:t xml:space="preserve"> allouées par programme</w:t>
      </w:r>
      <w:r w:rsidR="005A1776">
        <w:t xml:space="preserve"> </w:t>
      </w:r>
      <w:r w:rsidR="00D7459E">
        <w:t>service</w:t>
      </w:r>
      <w:r w:rsidR="005D0283">
        <w:t>,</w:t>
      </w:r>
      <w:r>
        <w:t xml:space="preserve"> en tenant compte des particularités de la population qu’il dessert.</w:t>
      </w:r>
      <w:r w:rsidR="00014644">
        <w:t xml:space="preserve"> </w:t>
      </w:r>
      <w:r>
        <w:t>L’article</w:t>
      </w:r>
      <w:r w:rsidR="005A1776">
        <w:t> </w:t>
      </w:r>
      <w:r>
        <w:t>59</w:t>
      </w:r>
      <w:r w:rsidR="00014644">
        <w:t>, 4</w:t>
      </w:r>
      <w:r w:rsidR="00014644">
        <w:rPr>
          <w:vertAlign w:val="superscript"/>
        </w:rPr>
        <w:t>0</w:t>
      </w:r>
      <w:r w:rsidR="00014644">
        <w:t xml:space="preserve"> attribue, quant à lui, à l’établissement régional la responsabilité de l’attribution des subventions aux organismes communautaires. Finalement l’article</w:t>
      </w:r>
      <w:r w:rsidR="005A1776">
        <w:t> </w:t>
      </w:r>
      <w:r w:rsidR="00014644">
        <w:t xml:space="preserve">90 énonce que le ministre établit les règles budgétaires particulières à l’octroi des subventions aux organismes </w:t>
      </w:r>
      <w:r w:rsidR="00014644">
        <w:lastRenderedPageBreak/>
        <w:t>communautaires. Le 2</w:t>
      </w:r>
      <w:r w:rsidR="00014644" w:rsidRPr="00014644">
        <w:rPr>
          <w:vertAlign w:val="superscript"/>
        </w:rPr>
        <w:t>e</w:t>
      </w:r>
      <w:r w:rsidR="00014644">
        <w:t xml:space="preserve"> alin</w:t>
      </w:r>
      <w:r w:rsidR="005A1776">
        <w:t>é</w:t>
      </w:r>
      <w:r w:rsidR="00014644">
        <w:t>a mentionne que les règles applicables aux établissements quant à leur gestion doi</w:t>
      </w:r>
      <w:r w:rsidR="005A1776">
        <w:t>vent</w:t>
      </w:r>
      <w:r w:rsidR="00014644">
        <w:t xml:space="preserve"> prévoir une comptabilité par programme</w:t>
      </w:r>
      <w:r w:rsidR="005A1776">
        <w:t xml:space="preserve"> </w:t>
      </w:r>
      <w:r w:rsidR="00014644">
        <w:t>service.</w:t>
      </w:r>
    </w:p>
    <w:p w:rsidR="00A0651E" w:rsidRDefault="00A0651E" w:rsidP="00BB3A0E">
      <w:r>
        <w:t>En tenant compte que l’établissement est responsable de l’octroi du financement aux organismes communautaires et en tenant compte que l’établissement régional doit prévoir une comptabilité par programme</w:t>
      </w:r>
      <w:r w:rsidR="005A1776">
        <w:t xml:space="preserve"> </w:t>
      </w:r>
      <w:r>
        <w:t xml:space="preserve">service, comment </w:t>
      </w:r>
      <w:r w:rsidRPr="00A0651E">
        <w:t>s’effectuera la gestion d</w:t>
      </w:r>
      <w:r>
        <w:t xml:space="preserve">u </w:t>
      </w:r>
      <w:r w:rsidRPr="00A0651E">
        <w:t>PSOC?</w:t>
      </w:r>
    </w:p>
    <w:p w:rsidR="00272E10" w:rsidRDefault="00A0651E" w:rsidP="00BB3A0E">
      <w:r>
        <w:t>Est-ce la fin du financement à la mission pour les organismes communautaires en santé et service sociaux</w:t>
      </w:r>
      <w:r w:rsidR="005A1776">
        <w:t>?</w:t>
      </w:r>
      <w:r w:rsidR="005D0283">
        <w:t xml:space="preserve"> </w:t>
      </w:r>
      <w:r w:rsidR="00272E10">
        <w:t xml:space="preserve">Seront-ils financés </w:t>
      </w:r>
      <w:r w:rsidR="00D7459E">
        <w:t xml:space="preserve">uniquement </w:t>
      </w:r>
      <w:r w:rsidR="00272E10">
        <w:t>pour les services, c’est-à-dire donc dans une logique de financement par activité</w:t>
      </w:r>
      <w:r w:rsidR="005A1776">
        <w:t>?</w:t>
      </w:r>
      <w:r w:rsidR="005D0283">
        <w:t xml:space="preserve"> Il est évident qu’il s’agit là d’une préoccupation majeure pour la CTROC.   </w:t>
      </w:r>
      <w:r w:rsidR="00272E10">
        <w:t>Cette façon de financer les organismes communautaires en santé et services sociaux serait contraire à la reconnaissance de leur contribution</w:t>
      </w:r>
      <w:r w:rsidR="004B3AE4">
        <w:t xml:space="preserve">, </w:t>
      </w:r>
      <w:r w:rsidR="004B3AE4" w:rsidRPr="008F598C">
        <w:t>de leur identité</w:t>
      </w:r>
      <w:r w:rsidR="004B3AE4">
        <w:t xml:space="preserve">, </w:t>
      </w:r>
      <w:r w:rsidR="00272E10">
        <w:t xml:space="preserve">et contraire aux principes fondamentaux du PSOC. </w:t>
      </w:r>
    </w:p>
    <w:p w:rsidR="00272E10" w:rsidRDefault="00272E10" w:rsidP="00BB3A0E">
      <w:r>
        <w:t xml:space="preserve">De même, si l’intention de ministre n’est pas de modifier la structure du PSOC, nous n’avons </w:t>
      </w:r>
      <w:r w:rsidR="00D7459E">
        <w:t xml:space="preserve">par ailleurs </w:t>
      </w:r>
      <w:r>
        <w:t>aucune assurance</w:t>
      </w:r>
      <w:r w:rsidR="006240B6">
        <w:t xml:space="preserve"> que le financement à la mission demeurera prépondérant. Est-ce</w:t>
      </w:r>
      <w:r>
        <w:t xml:space="preserve"> que les prochaines augmentations de financement qui pourraient être accordé</w:t>
      </w:r>
      <w:r w:rsidR="005D0283">
        <w:t>es</w:t>
      </w:r>
      <w:r>
        <w:t xml:space="preserve"> aux organismes communautaires</w:t>
      </w:r>
      <w:r w:rsidR="006240B6">
        <w:t xml:space="preserve"> </w:t>
      </w:r>
      <w:r w:rsidR="005D0283">
        <w:t>seront attribuées via</w:t>
      </w:r>
      <w:r w:rsidR="006240B6">
        <w:t xml:space="preserve"> des appels de projets provenant du ministre</w:t>
      </w:r>
      <w:r w:rsidR="005D0283">
        <w:t>? O</w:t>
      </w:r>
      <w:r w:rsidR="006240B6">
        <w:t>u tout simplement en réponse à l’offre de service manquante ou complémentaire dans un programme</w:t>
      </w:r>
      <w:r w:rsidR="005A1776">
        <w:t xml:space="preserve"> </w:t>
      </w:r>
      <w:r w:rsidR="006240B6">
        <w:t>service?</w:t>
      </w:r>
    </w:p>
    <w:p w:rsidR="005D0283" w:rsidRDefault="005D0283" w:rsidP="00BB3A0E"/>
    <w:p w:rsidR="00695FAA" w:rsidRDefault="004B3AE4" w:rsidP="00695FAA">
      <w:pPr>
        <w:pBdr>
          <w:top w:val="single" w:sz="4" w:space="1" w:color="auto"/>
          <w:left w:val="single" w:sz="4" w:space="4" w:color="auto"/>
          <w:bottom w:val="single" w:sz="4" w:space="1" w:color="auto"/>
          <w:right w:val="single" w:sz="4" w:space="4" w:color="auto"/>
        </w:pBdr>
        <w:rPr>
          <w:b/>
        </w:rPr>
      </w:pPr>
      <w:r>
        <w:rPr>
          <w:b/>
        </w:rPr>
        <w:t>R</w:t>
      </w:r>
      <w:r w:rsidR="00477EC8">
        <w:rPr>
          <w:b/>
        </w:rPr>
        <w:t>ecommandation</w:t>
      </w:r>
      <w:r w:rsidR="005A1776">
        <w:rPr>
          <w:b/>
        </w:rPr>
        <w:t> </w:t>
      </w:r>
      <w:r w:rsidR="00477EC8">
        <w:rPr>
          <w:b/>
        </w:rPr>
        <w:t>7</w:t>
      </w:r>
      <w:r>
        <w:rPr>
          <w:b/>
        </w:rPr>
        <w:t xml:space="preserve"> </w:t>
      </w:r>
    </w:p>
    <w:p w:rsidR="006240B6" w:rsidRPr="00281AAD" w:rsidRDefault="00281AAD" w:rsidP="00695FAA">
      <w:pPr>
        <w:pBdr>
          <w:top w:val="single" w:sz="4" w:space="1" w:color="auto"/>
          <w:left w:val="single" w:sz="4" w:space="4" w:color="auto"/>
          <w:bottom w:val="single" w:sz="4" w:space="1" w:color="auto"/>
          <w:right w:val="single" w:sz="4" w:space="4" w:color="auto"/>
        </w:pBdr>
        <w:rPr>
          <w:b/>
        </w:rPr>
      </w:pPr>
      <w:r w:rsidRPr="00281AAD">
        <w:rPr>
          <w:b/>
        </w:rPr>
        <w:t>Nous recommandons d’exclure le PSOC de la gestion budgétaire par programme</w:t>
      </w:r>
      <w:r w:rsidR="005A1776">
        <w:rPr>
          <w:b/>
        </w:rPr>
        <w:t xml:space="preserve"> </w:t>
      </w:r>
      <w:r w:rsidRPr="00281AAD">
        <w:rPr>
          <w:b/>
        </w:rPr>
        <w:t>service</w:t>
      </w:r>
      <w:r w:rsidR="005D0283">
        <w:rPr>
          <w:b/>
        </w:rPr>
        <w:t>.</w:t>
      </w:r>
    </w:p>
    <w:p w:rsidR="000D5720" w:rsidRDefault="000D5720" w:rsidP="00692554">
      <w:pPr>
        <w:pStyle w:val="Titre3"/>
      </w:pPr>
    </w:p>
    <w:p w:rsidR="008027CC" w:rsidRDefault="00A03133" w:rsidP="00575DFE">
      <w:pPr>
        <w:pStyle w:val="Titre3"/>
        <w:spacing w:after="240"/>
      </w:pPr>
      <w:bookmarkStart w:id="7" w:name="_Toc403383311"/>
      <w:r>
        <w:t>4.2</w:t>
      </w:r>
      <w:r w:rsidR="000F0669">
        <w:t xml:space="preserve"> </w:t>
      </w:r>
      <w:r w:rsidR="00692554">
        <w:t>Les spécificités régionales</w:t>
      </w:r>
      <w:r w:rsidR="00621233">
        <w:t xml:space="preserve"> </w:t>
      </w:r>
      <w:r w:rsidR="001F53ED">
        <w:t>et</w:t>
      </w:r>
      <w:r w:rsidR="00621233">
        <w:t xml:space="preserve"> local</w:t>
      </w:r>
      <w:r w:rsidR="001F53ED">
        <w:t>es</w:t>
      </w:r>
      <w:bookmarkEnd w:id="7"/>
    </w:p>
    <w:p w:rsidR="0037486F" w:rsidRDefault="008027CC" w:rsidP="0037486F">
      <w:r>
        <w:t>Les membres de la CTROC</w:t>
      </w:r>
      <w:r w:rsidR="00A9023A">
        <w:t xml:space="preserve"> sont actuellement reconnus par leur Agence respective à titre d’interlocuteur privilégié pour les organismes communautaires. </w:t>
      </w:r>
      <w:r w:rsidR="0037486F">
        <w:t>Ils</w:t>
      </w:r>
      <w:r>
        <w:t xml:space="preserve"> </w:t>
      </w:r>
      <w:r w:rsidR="0037486F" w:rsidRPr="0037486F">
        <w:t xml:space="preserve">ont établi des rapports </w:t>
      </w:r>
      <w:r w:rsidR="005D0283">
        <w:t xml:space="preserve">de première importance </w:t>
      </w:r>
      <w:r w:rsidR="0037486F" w:rsidRPr="0037486F">
        <w:t xml:space="preserve">avec les responsables </w:t>
      </w:r>
      <w:r w:rsidR="005D0283">
        <w:t xml:space="preserve">régionaux </w:t>
      </w:r>
      <w:r w:rsidR="0037486F" w:rsidRPr="0037486F">
        <w:t>du programme PSOC. L</w:t>
      </w:r>
      <w:r w:rsidR="005D0283">
        <w:t>a</w:t>
      </w:r>
      <w:r w:rsidR="0037486F" w:rsidRPr="0037486F">
        <w:t xml:space="preserve"> présence </w:t>
      </w:r>
      <w:r w:rsidR="005D0283">
        <w:t xml:space="preserve">de regroupements régionaux </w:t>
      </w:r>
      <w:r w:rsidR="0037486F" w:rsidRPr="0037486F">
        <w:t xml:space="preserve">facilite les liens </w:t>
      </w:r>
      <w:r w:rsidR="005D0283">
        <w:t xml:space="preserve">et le travail </w:t>
      </w:r>
      <w:r w:rsidR="0037486F" w:rsidRPr="0037486F">
        <w:t xml:space="preserve">entre le bailleur de fonds et les organismes communautaires en santé et services sociaux. </w:t>
      </w:r>
      <w:r w:rsidR="005D0283">
        <w:t>Elle</w:t>
      </w:r>
      <w:r w:rsidR="0037486F">
        <w:t xml:space="preserve"> permet aussi une </w:t>
      </w:r>
      <w:r w:rsidR="005D0283">
        <w:t xml:space="preserve">cohésion et une </w:t>
      </w:r>
      <w:r w:rsidR="0037486F">
        <w:t>solidarité entre les organismes communautaires d’une région</w:t>
      </w:r>
      <w:r w:rsidR="005D0283">
        <w:t>,</w:t>
      </w:r>
      <w:r w:rsidR="0037486F">
        <w:t xml:space="preserve"> en favorisant le partage d’information, d’analyse et d’expertise.</w:t>
      </w:r>
    </w:p>
    <w:p w:rsidR="0037486F" w:rsidRDefault="0037486F" w:rsidP="0037486F">
      <w:r>
        <w:t xml:space="preserve">Nous constatons </w:t>
      </w:r>
      <w:r w:rsidRPr="0037486F">
        <w:t>que le financement du Programme de soutien aux organismes communautaire</w:t>
      </w:r>
      <w:r w:rsidR="005A1776">
        <w:t xml:space="preserve">s </w:t>
      </w:r>
      <w:r w:rsidRPr="0037486F">
        <w:t>(PSOC)</w:t>
      </w:r>
      <w:r w:rsidR="009C6607">
        <w:t xml:space="preserve"> demeure régionalisé</w:t>
      </w:r>
      <w:r w:rsidR="00D7459E">
        <w:t xml:space="preserve"> au sein du projet de loi</w:t>
      </w:r>
      <w:r w:rsidR="005A1776">
        <w:t> </w:t>
      </w:r>
      <w:r w:rsidR="00D7459E">
        <w:t>10</w:t>
      </w:r>
      <w:r w:rsidR="009C6607">
        <w:t>. Les membres de la CTROC continueront d’assurer leur rôle a</w:t>
      </w:r>
      <w:r w:rsidR="005D0283">
        <w:t>uprès de l’instance régionale</w:t>
      </w:r>
      <w:r w:rsidR="005A1776">
        <w:t xml:space="preserve">, </w:t>
      </w:r>
      <w:r w:rsidR="005D0283">
        <w:t>et ce</w:t>
      </w:r>
      <w:r w:rsidR="009C6607">
        <w:t xml:space="preserve"> dans le respect des mandats de leurs membres, c’est-à-dire les organismes communautaires de base en santé et services sociaux. </w:t>
      </w:r>
    </w:p>
    <w:p w:rsidR="004E7680" w:rsidRDefault="00860CD0" w:rsidP="00860CD0">
      <w:r w:rsidRPr="007D7FD8">
        <w:lastRenderedPageBreak/>
        <w:t>L’article</w:t>
      </w:r>
      <w:r w:rsidR="005A1776">
        <w:t> </w:t>
      </w:r>
      <w:r w:rsidRPr="007D7FD8">
        <w:t>64 du projet de loi vient toutefois enlever la responsabilité</w:t>
      </w:r>
      <w:r w:rsidR="004E7680">
        <w:t xml:space="preserve"> à l’établissement régional</w:t>
      </w:r>
      <w:r w:rsidRPr="007D7FD8">
        <w:t xml:space="preserve"> de mettre en place des orientations région</w:t>
      </w:r>
      <w:r w:rsidR="004E7680">
        <w:t>ales</w:t>
      </w:r>
      <w:r w:rsidRPr="007D7FD8">
        <w:t>.</w:t>
      </w:r>
      <w:r w:rsidR="007D7FD8">
        <w:t xml:space="preserve"> </w:t>
      </w:r>
      <w:r w:rsidRPr="00695FAA">
        <w:t xml:space="preserve">Nous ne sommes pas en désaccord avec la volonté du </w:t>
      </w:r>
      <w:r w:rsidR="000D5720" w:rsidRPr="00695FAA">
        <w:t>m</w:t>
      </w:r>
      <w:r w:rsidRPr="00695FAA">
        <w:t xml:space="preserve">inistre de la </w:t>
      </w:r>
      <w:r w:rsidR="000D5720" w:rsidRPr="00695FAA">
        <w:t>S</w:t>
      </w:r>
      <w:r w:rsidRPr="00695FAA">
        <w:t xml:space="preserve">anté et des </w:t>
      </w:r>
      <w:r w:rsidR="000D5720" w:rsidRPr="00695FAA">
        <w:t>S</w:t>
      </w:r>
      <w:r w:rsidRPr="00695FAA">
        <w:t xml:space="preserve">ervices sociaux </w:t>
      </w:r>
      <w:r w:rsidRPr="00511A1A">
        <w:t>d</w:t>
      </w:r>
      <w:r w:rsidR="00E70886" w:rsidRPr="00511A1A">
        <w:t xml:space="preserve">’assurer la mise en place d’orientations et de balises nationales dans lesquelles les </w:t>
      </w:r>
      <w:r w:rsidR="00695FAA" w:rsidRPr="00511A1A">
        <w:t>plans</w:t>
      </w:r>
      <w:r w:rsidR="00E70886" w:rsidRPr="00511A1A">
        <w:t xml:space="preserve"> d’action régionaux pourront s’inscrire</w:t>
      </w:r>
      <w:r w:rsidR="00302058" w:rsidRPr="00511A1A">
        <w:t>.</w:t>
      </w:r>
      <w:r w:rsidR="004E7680">
        <w:t xml:space="preserve"> </w:t>
      </w:r>
      <w:r w:rsidR="00302058" w:rsidRPr="00302058">
        <w:t>Cependant</w:t>
      </w:r>
      <w:r w:rsidRPr="00860CD0">
        <w:t>, bien que nous so</w:t>
      </w:r>
      <w:r w:rsidR="004E7680">
        <w:t>yons</w:t>
      </w:r>
      <w:r w:rsidRPr="00860CD0">
        <w:t xml:space="preserve"> en faveur de </w:t>
      </w:r>
      <w:r w:rsidR="00E70886">
        <w:t xml:space="preserve">certaines </w:t>
      </w:r>
      <w:r w:rsidRPr="00860CD0">
        <w:t xml:space="preserve">mesures systémiques et d’orientations larges qui émanent de l’État, la CTROC est inquiète de ce virage centralisateur. Il existe des particularités régionales </w:t>
      </w:r>
      <w:r w:rsidR="00621233">
        <w:t xml:space="preserve">et locales </w:t>
      </w:r>
      <w:r w:rsidRPr="00860CD0">
        <w:t xml:space="preserve">et </w:t>
      </w:r>
      <w:r w:rsidR="000D5720">
        <w:t>i</w:t>
      </w:r>
      <w:r w:rsidRPr="00860CD0">
        <w:t xml:space="preserve">l nous apparaît essentiel que l’établissement régional puisse avoir une marge de manœuvre afin de pouvoir adapter les orientations </w:t>
      </w:r>
      <w:r w:rsidR="004E7680">
        <w:t>aux</w:t>
      </w:r>
      <w:r w:rsidRPr="00860CD0">
        <w:t xml:space="preserve"> réalité</w:t>
      </w:r>
      <w:r w:rsidR="004E7680">
        <w:t>s</w:t>
      </w:r>
      <w:r w:rsidRPr="00860CD0">
        <w:t xml:space="preserve"> régionale</w:t>
      </w:r>
      <w:r w:rsidR="004E7680">
        <w:t>s</w:t>
      </w:r>
      <w:r w:rsidR="00621233">
        <w:t xml:space="preserve"> et locale</w:t>
      </w:r>
      <w:r w:rsidR="004E7680">
        <w:t>s</w:t>
      </w:r>
      <w:r w:rsidRPr="00860CD0">
        <w:t>.</w:t>
      </w:r>
      <w:r w:rsidR="007D7FD8">
        <w:t xml:space="preserve"> </w:t>
      </w:r>
    </w:p>
    <w:p w:rsidR="004E7680" w:rsidRDefault="004E7680" w:rsidP="004E7680">
      <w:r>
        <w:t>Nous déplorons bien sûr la disparition des Conseils d’administration des CSSS, car ces derniers permettaient une participation citoyenne au sein d’instances locales bien informée</w:t>
      </w:r>
      <w:r w:rsidR="005A1776">
        <w:t xml:space="preserve">s </w:t>
      </w:r>
      <w:r>
        <w:t xml:space="preserve">des </w:t>
      </w:r>
      <w:r w:rsidR="007D7FD8">
        <w:t>particularités du territoire</w:t>
      </w:r>
      <w:r>
        <w:t>.</w:t>
      </w:r>
    </w:p>
    <w:p w:rsidR="009C5FA6" w:rsidRPr="009C5FA6" w:rsidRDefault="008F598C" w:rsidP="004E7680">
      <w:r>
        <w:t xml:space="preserve"> </w:t>
      </w:r>
    </w:p>
    <w:p w:rsidR="00386759" w:rsidRDefault="00386759" w:rsidP="00386759">
      <w:pPr>
        <w:keepNext/>
        <w:pBdr>
          <w:top w:val="single" w:sz="4" w:space="1" w:color="auto"/>
          <w:left w:val="single" w:sz="4" w:space="4" w:color="auto"/>
          <w:bottom w:val="single" w:sz="4" w:space="1" w:color="auto"/>
          <w:right w:val="single" w:sz="4" w:space="4" w:color="auto"/>
        </w:pBdr>
        <w:spacing w:line="260" w:lineRule="atLeast"/>
        <w:rPr>
          <w:color w:val="000000"/>
        </w:rPr>
      </w:pPr>
      <w:r>
        <w:rPr>
          <w:rFonts w:ascii="Calibri" w:hAnsi="Calibri"/>
          <w:b/>
          <w:color w:val="000000"/>
        </w:rPr>
        <w:t>Recommandation</w:t>
      </w:r>
      <w:r w:rsidR="005A1776">
        <w:rPr>
          <w:rFonts w:ascii="Calibri" w:hAnsi="Calibri"/>
          <w:b/>
          <w:color w:val="000000"/>
        </w:rPr>
        <w:t> </w:t>
      </w:r>
      <w:r>
        <w:rPr>
          <w:rFonts w:ascii="Calibri" w:hAnsi="Calibri"/>
          <w:b/>
          <w:color w:val="000000"/>
        </w:rPr>
        <w:t xml:space="preserve">8 </w:t>
      </w:r>
    </w:p>
    <w:p w:rsidR="00386759" w:rsidRDefault="00386759" w:rsidP="00386759">
      <w:pPr>
        <w:keepNext/>
        <w:pBdr>
          <w:top w:val="single" w:sz="4" w:space="1" w:color="auto"/>
          <w:left w:val="single" w:sz="4" w:space="4" w:color="auto"/>
          <w:bottom w:val="single" w:sz="4" w:space="1" w:color="auto"/>
          <w:right w:val="single" w:sz="4" w:space="4" w:color="auto"/>
        </w:pBdr>
        <w:spacing w:line="260" w:lineRule="atLeast"/>
        <w:rPr>
          <w:color w:val="000000"/>
        </w:rPr>
      </w:pPr>
      <w:r>
        <w:rPr>
          <w:rFonts w:ascii="Calibri" w:hAnsi="Calibri"/>
          <w:b/>
          <w:color w:val="000000"/>
        </w:rPr>
        <w:t>Nous recommandons que l’établissement régional demeure responsable d’élaborer un plan stratégique pluriannuel pour le territoire de sa région et que ce plan soit approuvé par le ministre, conformément aux articles</w:t>
      </w:r>
      <w:r w:rsidR="005A1776">
        <w:rPr>
          <w:rFonts w:ascii="Calibri" w:hAnsi="Calibri"/>
          <w:b/>
          <w:color w:val="000000"/>
        </w:rPr>
        <w:t> </w:t>
      </w:r>
      <w:r>
        <w:rPr>
          <w:rFonts w:ascii="Calibri" w:hAnsi="Calibri"/>
          <w:b/>
          <w:color w:val="000000"/>
        </w:rPr>
        <w:t xml:space="preserve">346.1 et 346.2 de la LSSS. </w:t>
      </w:r>
    </w:p>
    <w:p w:rsidR="00386759" w:rsidRDefault="00386759" w:rsidP="00386759">
      <w:pPr>
        <w:pBdr>
          <w:top w:val="single" w:sz="4" w:space="1" w:color="auto"/>
          <w:left w:val="single" w:sz="4" w:space="4" w:color="auto"/>
          <w:bottom w:val="single" w:sz="4" w:space="1" w:color="auto"/>
          <w:right w:val="single" w:sz="4" w:space="4" w:color="auto"/>
        </w:pBdr>
        <w:spacing w:line="260" w:lineRule="atLeast"/>
        <w:rPr>
          <w:color w:val="000000"/>
        </w:rPr>
      </w:pPr>
      <w:r>
        <w:rPr>
          <w:color w:val="000000"/>
        </w:rPr>
        <w:t> </w:t>
      </w:r>
    </w:p>
    <w:p w:rsidR="00386759" w:rsidRDefault="00386759" w:rsidP="00386759">
      <w:pPr>
        <w:pBdr>
          <w:top w:val="single" w:sz="4" w:space="1" w:color="auto"/>
          <w:left w:val="single" w:sz="4" w:space="4" w:color="auto"/>
          <w:bottom w:val="single" w:sz="4" w:space="1" w:color="auto"/>
          <w:right w:val="single" w:sz="4" w:space="4" w:color="auto"/>
        </w:pBdr>
        <w:spacing w:line="260" w:lineRule="atLeast"/>
        <w:rPr>
          <w:color w:val="000000"/>
        </w:rPr>
      </w:pPr>
      <w:r>
        <w:rPr>
          <w:rFonts w:ascii="Calibri" w:hAnsi="Calibri"/>
          <w:b/>
          <w:color w:val="000000"/>
        </w:rPr>
        <w:t>Recommandation</w:t>
      </w:r>
      <w:r w:rsidR="005A1776">
        <w:rPr>
          <w:rFonts w:ascii="Calibri" w:hAnsi="Calibri"/>
          <w:b/>
          <w:color w:val="000000"/>
        </w:rPr>
        <w:t> </w:t>
      </w:r>
      <w:r>
        <w:rPr>
          <w:rFonts w:ascii="Calibri" w:hAnsi="Calibri"/>
          <w:b/>
          <w:color w:val="000000"/>
        </w:rPr>
        <w:t>9</w:t>
      </w:r>
    </w:p>
    <w:p w:rsidR="004E7680" w:rsidRDefault="00386759" w:rsidP="00386759">
      <w:pPr>
        <w:pBdr>
          <w:top w:val="single" w:sz="4" w:space="1" w:color="auto"/>
          <w:left w:val="single" w:sz="4" w:space="4" w:color="auto"/>
          <w:bottom w:val="single" w:sz="4" w:space="1" w:color="auto"/>
          <w:right w:val="single" w:sz="4" w:space="4" w:color="auto"/>
        </w:pBdr>
        <w:spacing w:line="260" w:lineRule="atLeast"/>
        <w:rPr>
          <w:color w:val="000000"/>
        </w:rPr>
      </w:pPr>
      <w:r>
        <w:rPr>
          <w:rFonts w:ascii="Calibri" w:hAnsi="Calibri"/>
          <w:b/>
          <w:color w:val="000000"/>
        </w:rPr>
        <w:t>Nous recommandons que l’article</w:t>
      </w:r>
      <w:r w:rsidR="005A1776">
        <w:rPr>
          <w:rFonts w:ascii="Calibri" w:hAnsi="Calibri"/>
          <w:b/>
          <w:color w:val="000000"/>
        </w:rPr>
        <w:t> </w:t>
      </w:r>
      <w:r>
        <w:rPr>
          <w:rFonts w:ascii="Calibri" w:hAnsi="Calibri"/>
          <w:b/>
          <w:color w:val="000000"/>
        </w:rPr>
        <w:t>64 soit modifié par</w:t>
      </w:r>
      <w:r w:rsidR="005A1776">
        <w:rPr>
          <w:rFonts w:ascii="Calibri" w:hAnsi="Calibri"/>
          <w:b/>
          <w:color w:val="000000"/>
        </w:rPr>
        <w:t> </w:t>
      </w:r>
      <w:r>
        <w:rPr>
          <w:rFonts w:ascii="Calibri" w:hAnsi="Calibri"/>
          <w:b/>
          <w:color w:val="000000"/>
        </w:rPr>
        <w:t>: «</w:t>
      </w:r>
      <w:r w:rsidR="005A1776">
        <w:rPr>
          <w:rFonts w:ascii="Calibri" w:hAnsi="Calibri"/>
          <w:b/>
          <w:color w:val="000000"/>
        </w:rPr>
        <w:t> </w:t>
      </w:r>
      <w:r>
        <w:rPr>
          <w:rFonts w:ascii="Calibri" w:hAnsi="Calibri"/>
          <w:b/>
          <w:color w:val="000000"/>
        </w:rPr>
        <w:t>l’article</w:t>
      </w:r>
      <w:r w:rsidR="005A1776">
        <w:rPr>
          <w:rFonts w:ascii="Calibri" w:hAnsi="Calibri"/>
          <w:b/>
          <w:color w:val="000000"/>
        </w:rPr>
        <w:t> </w:t>
      </w:r>
      <w:r>
        <w:rPr>
          <w:rFonts w:ascii="Calibri" w:hAnsi="Calibri"/>
          <w:b/>
          <w:color w:val="000000"/>
        </w:rPr>
        <w:t>346.3 de la LSSSS ne s’applique pas à un établissement régional.</w:t>
      </w:r>
      <w:r w:rsidR="005A1776">
        <w:rPr>
          <w:rFonts w:ascii="Calibri" w:hAnsi="Calibri"/>
          <w:b/>
          <w:color w:val="000000"/>
        </w:rPr>
        <w:t> </w:t>
      </w:r>
      <w:r>
        <w:rPr>
          <w:rFonts w:ascii="Calibri" w:hAnsi="Calibri"/>
          <w:b/>
          <w:color w:val="000000"/>
        </w:rPr>
        <w:t>»</w:t>
      </w:r>
    </w:p>
    <w:p w:rsidR="00386759" w:rsidRPr="00386759" w:rsidRDefault="00386759" w:rsidP="00386759">
      <w:pPr>
        <w:pBdr>
          <w:top w:val="single" w:sz="4" w:space="1" w:color="auto"/>
          <w:left w:val="single" w:sz="4" w:space="4" w:color="auto"/>
          <w:bottom w:val="single" w:sz="4" w:space="1" w:color="auto"/>
          <w:right w:val="single" w:sz="4" w:space="4" w:color="auto"/>
        </w:pBdr>
        <w:spacing w:line="260" w:lineRule="atLeast"/>
        <w:rPr>
          <w:color w:val="000000"/>
        </w:rPr>
      </w:pPr>
    </w:p>
    <w:p w:rsidR="00BF74C9" w:rsidRDefault="00BF74C9" w:rsidP="00575DFE">
      <w:pPr>
        <w:pStyle w:val="Titre3"/>
        <w:spacing w:after="240"/>
      </w:pPr>
    </w:p>
    <w:p w:rsidR="0005539A" w:rsidRDefault="00F16AE1" w:rsidP="00575DFE">
      <w:pPr>
        <w:pStyle w:val="Titre3"/>
        <w:spacing w:after="240"/>
      </w:pPr>
      <w:bookmarkStart w:id="8" w:name="_Toc403383312"/>
      <w:r>
        <w:t>4.3</w:t>
      </w:r>
      <w:r w:rsidR="00621233">
        <w:t xml:space="preserve"> </w:t>
      </w:r>
      <w:r w:rsidR="0005539A">
        <w:t>La situation particulière de Montréal</w:t>
      </w:r>
      <w:bookmarkEnd w:id="8"/>
    </w:p>
    <w:p w:rsidR="00E67F2C" w:rsidRDefault="0005539A" w:rsidP="00860CD0">
      <w:r>
        <w:t>L’article</w:t>
      </w:r>
      <w:r w:rsidR="005A1776">
        <w:t> </w:t>
      </w:r>
      <w:r>
        <w:t>4 propose la constitution de cinq établissement</w:t>
      </w:r>
      <w:r w:rsidR="004519E7">
        <w:t>s</w:t>
      </w:r>
      <w:r>
        <w:t xml:space="preserve"> </w:t>
      </w:r>
      <w:r w:rsidR="00EA7134">
        <w:t xml:space="preserve">régionaux pour Montréal et fusionne le mandat de l’Agence au CISSS </w:t>
      </w:r>
      <w:proofErr w:type="spellStart"/>
      <w:r w:rsidR="00EA7134">
        <w:t>Sud-Est-de-l’île-de-Montréal</w:t>
      </w:r>
      <w:proofErr w:type="spellEnd"/>
      <w:r w:rsidR="00EA7134">
        <w:t xml:space="preserve">. </w:t>
      </w:r>
      <w:r w:rsidR="00EA7134" w:rsidRPr="0005539A">
        <w:t>Le choix d’intégrer les mandats de l’Agence à un seul des cinq futurs CISSS de la région nous laisse entrevoir des difficultés de coordination importantes des dossiers qui demandent un arbitrage régional</w:t>
      </w:r>
      <w:r w:rsidR="00EA7134">
        <w:t xml:space="preserve">. </w:t>
      </w:r>
      <w:r w:rsidRPr="0005539A">
        <w:t xml:space="preserve">Comment nous assurer que le CISSS Sud-Est aura l’autorité nécessaire pour établir une collaboration avec d’autres établissements qui seraient tous sur le même pied d’égalité en relevant directement de Québec? En cas de difficultés dans la gestion des budgets ou programmes, comment ferions-nous l’arbitrage sans structure de coordination? </w:t>
      </w:r>
    </w:p>
    <w:p w:rsidR="00EA7134" w:rsidRDefault="0005539A" w:rsidP="00860CD0">
      <w:r w:rsidRPr="0005539A">
        <w:t>Ces questionnements sont sérieux et font en sorte que nous remettons en question le scénario actuellement prévu dans le projet de loi qui transférerait ces responsabilités au CISSS Sud-Est. Pour coordonn</w:t>
      </w:r>
      <w:r w:rsidR="004E7680">
        <w:t>er les dossiers régionaux cité</w:t>
      </w:r>
      <w:r w:rsidRPr="0005539A">
        <w:t xml:space="preserve">s plus haut, il nous apparaît évident, pour la région de Montréal, qu’il faudra créer une structure de coordination régionale relevant du MSSS. </w:t>
      </w:r>
      <w:r w:rsidRPr="0005539A">
        <w:lastRenderedPageBreak/>
        <w:t>Précisons, cependant, que nous serions opposés au transfert de ces dossiers directement au MSSS, à Québec, car il serait alors encore plus difficile de préserver l’expertise montréalaise</w:t>
      </w:r>
      <w:r w:rsidR="00E70886">
        <w:t>.</w:t>
      </w:r>
    </w:p>
    <w:p w:rsidR="00E70886" w:rsidRDefault="00E70886" w:rsidP="00860CD0">
      <w:r>
        <w:t>La situation décrite précédemment devrait ainsi être considérée dans d’autres régions, dans l’éventualité où plus d’un é</w:t>
      </w:r>
      <w:r w:rsidR="00D7459E">
        <w:t>tablissement régional y serait créé</w:t>
      </w:r>
      <w:r>
        <w:t>.</w:t>
      </w:r>
    </w:p>
    <w:p w:rsidR="00B97B00" w:rsidRDefault="00B97B00" w:rsidP="00860CD0"/>
    <w:p w:rsidR="00E67F2C" w:rsidRDefault="00621233" w:rsidP="00E67F2C">
      <w:pPr>
        <w:pBdr>
          <w:top w:val="single" w:sz="4" w:space="1" w:color="auto"/>
          <w:left w:val="single" w:sz="4" w:space="4" w:color="auto"/>
          <w:bottom w:val="single" w:sz="4" w:space="1" w:color="auto"/>
          <w:right w:val="single" w:sz="4" w:space="4" w:color="auto"/>
        </w:pBdr>
        <w:rPr>
          <w:b/>
        </w:rPr>
      </w:pPr>
      <w:r>
        <w:rPr>
          <w:b/>
        </w:rPr>
        <w:t>R</w:t>
      </w:r>
      <w:r w:rsidR="00B97B00">
        <w:rPr>
          <w:b/>
        </w:rPr>
        <w:t>ecommandation</w:t>
      </w:r>
      <w:r w:rsidR="005A1776">
        <w:rPr>
          <w:b/>
        </w:rPr>
        <w:t> </w:t>
      </w:r>
      <w:r w:rsidR="00B97B00">
        <w:rPr>
          <w:b/>
        </w:rPr>
        <w:t>10</w:t>
      </w:r>
    </w:p>
    <w:p w:rsidR="00EA7134" w:rsidRPr="00EA7134" w:rsidRDefault="00EA7134" w:rsidP="00E67F2C">
      <w:pPr>
        <w:pBdr>
          <w:top w:val="single" w:sz="4" w:space="1" w:color="auto"/>
          <w:left w:val="single" w:sz="4" w:space="4" w:color="auto"/>
          <w:bottom w:val="single" w:sz="4" w:space="1" w:color="auto"/>
          <w:right w:val="single" w:sz="4" w:space="4" w:color="auto"/>
        </w:pBdr>
        <w:rPr>
          <w:b/>
        </w:rPr>
      </w:pPr>
      <w:r w:rsidRPr="00EA7134">
        <w:rPr>
          <w:b/>
        </w:rPr>
        <w:t xml:space="preserve">Nous recommandons le maintien d’une structure de coordination régionale du réseau de la santé et des services sociaux pour la région de Montréal. Cette structure devrait relever directement du MSSS pour avoir l’autorité nécessaire face aux cinq CISSS de la région et aux autres établissements. </w:t>
      </w:r>
      <w:r w:rsidR="00E70886">
        <w:rPr>
          <w:b/>
        </w:rPr>
        <w:t>Cette mesure devrait également être envisagée</w:t>
      </w:r>
      <w:r w:rsidR="00E67F2C">
        <w:rPr>
          <w:b/>
        </w:rPr>
        <w:t xml:space="preserve"> pour</w:t>
      </w:r>
      <w:r w:rsidR="00E70886">
        <w:rPr>
          <w:b/>
        </w:rPr>
        <w:t xml:space="preserve"> toute région possédant plus d’un établissement</w:t>
      </w:r>
      <w:r w:rsidR="00D7459E">
        <w:rPr>
          <w:b/>
        </w:rPr>
        <w:t xml:space="preserve"> régional</w:t>
      </w:r>
      <w:r w:rsidR="00E70886">
        <w:rPr>
          <w:b/>
        </w:rPr>
        <w:t>.</w:t>
      </w:r>
    </w:p>
    <w:p w:rsidR="0038621D" w:rsidRDefault="0038621D">
      <w:pPr>
        <w:rPr>
          <w:rFonts w:asciiTheme="majorHAnsi" w:eastAsiaTheme="majorEastAsia" w:hAnsiTheme="majorHAnsi" w:cstheme="majorBidi"/>
          <w:b/>
          <w:bCs/>
          <w:color w:val="4F81BD" w:themeColor="accent1"/>
          <w:sz w:val="26"/>
          <w:szCs w:val="26"/>
        </w:rPr>
      </w:pPr>
      <w:r>
        <w:br w:type="page"/>
      </w:r>
    </w:p>
    <w:p w:rsidR="004E6B15" w:rsidRDefault="00A03133" w:rsidP="00575DFE">
      <w:pPr>
        <w:pStyle w:val="Titre2"/>
        <w:spacing w:after="240"/>
      </w:pPr>
      <w:bookmarkStart w:id="9" w:name="_Toc403383313"/>
      <w:r>
        <w:lastRenderedPageBreak/>
        <w:t xml:space="preserve">5. </w:t>
      </w:r>
      <w:r w:rsidR="004E6B15" w:rsidRPr="004E6B15">
        <w:t>Aide aux organismes communautaires pour les activités de perfectionnement de leurs membres</w:t>
      </w:r>
      <w:bookmarkEnd w:id="9"/>
    </w:p>
    <w:p w:rsidR="004E6B15" w:rsidRDefault="00781C0B" w:rsidP="004E6B15">
      <w:r>
        <w:t>L’article</w:t>
      </w:r>
      <w:r w:rsidR="005A1776">
        <w:t> </w:t>
      </w:r>
      <w:r>
        <w:t>78 donne au ministre les fonctions d</w:t>
      </w:r>
      <w:r w:rsidR="00E67F2C">
        <w:t>e déterminer</w:t>
      </w:r>
      <w:r>
        <w:t xml:space="preserve"> </w:t>
      </w:r>
      <w:r w:rsidR="00E67F2C">
        <w:t>l</w:t>
      </w:r>
      <w:r>
        <w:t>es orientations</w:t>
      </w:r>
      <w:r w:rsidRPr="00781C0B">
        <w:t xml:space="preserve"> en matière de planification </w:t>
      </w:r>
      <w:r w:rsidR="00D7459E">
        <w:t>la</w:t>
      </w:r>
      <w:r w:rsidRPr="00781C0B">
        <w:t xml:space="preserve"> main-d’œuvre et de développement des ressources humaines et </w:t>
      </w:r>
      <w:r>
        <w:t xml:space="preserve">de </w:t>
      </w:r>
      <w:r w:rsidRPr="00781C0B">
        <w:t>veille</w:t>
      </w:r>
      <w:r>
        <w:t>r</w:t>
      </w:r>
      <w:r w:rsidRPr="00781C0B">
        <w:t xml:space="preserve"> à leur application</w:t>
      </w:r>
      <w:r>
        <w:t>. Cela inclu</w:t>
      </w:r>
      <w:r w:rsidR="007F76E7">
        <w:t>t</w:t>
      </w:r>
      <w:r>
        <w:t xml:space="preserve"> l’aide aux organismes communautaires pour les activités de perfectionnement de leurs membres. </w:t>
      </w:r>
    </w:p>
    <w:p w:rsidR="00781C0B" w:rsidRDefault="00781C0B" w:rsidP="004E6B15">
      <w:r>
        <w:t>Plusieurs membres de la CTROC reçoivent un financement de leur Agence via ces orientations, pour les formations qu’ils offrent aux travailleurs, travailleuses, membres et bénévoles des organismes communautaires de leur région.</w:t>
      </w:r>
      <w:r w:rsidR="0070735A">
        <w:t xml:space="preserve"> Ces formations peuvent autant </w:t>
      </w:r>
      <w:r w:rsidR="0075266C">
        <w:t>traiter</w:t>
      </w:r>
      <w:r w:rsidR="0070735A">
        <w:t xml:space="preserve"> de la gouvernance en portant, par exemple, sur les rôles et responsabilités des membres de conseil d’administration, que sur des sujets conjoncturels comme l’actuel projet de loi. Elles permettent aux o</w:t>
      </w:r>
      <w:r w:rsidR="0075266C">
        <w:t>rganismes de s’approprier les différents enjeux ou encore d’acquérir de nouvelles compétences en termes de gestion ou d’organisation.</w:t>
      </w:r>
    </w:p>
    <w:p w:rsidR="0075266C" w:rsidRDefault="0075266C" w:rsidP="004E6B15">
      <w:r>
        <w:t>De</w:t>
      </w:r>
      <w:r w:rsidR="008F05C6">
        <w:t xml:space="preserve"> même, chaque région peu</w:t>
      </w:r>
      <w:r w:rsidR="004E7680">
        <w:t>t</w:t>
      </w:r>
      <w:r w:rsidR="008F05C6">
        <w:t xml:space="preserve"> adapter </w:t>
      </w:r>
      <w:r>
        <w:t xml:space="preserve">son offre de formation en fonction de </w:t>
      </w:r>
      <w:r w:rsidR="004E7680">
        <w:t>sa</w:t>
      </w:r>
      <w:r>
        <w:t xml:space="preserve"> réalité spécifique. Par exemple, dans une région, il peut y avoir un plus grand roulement de personnel </w:t>
      </w:r>
      <w:r w:rsidR="007F76E7">
        <w:t xml:space="preserve">au sein des organismes </w:t>
      </w:r>
      <w:r>
        <w:t>et une formation s’adressant aux nouvelles di</w:t>
      </w:r>
      <w:r w:rsidR="004E7680">
        <w:t>rections/coordinations pourrai</w:t>
      </w:r>
      <w:r>
        <w:t xml:space="preserve">t être </w:t>
      </w:r>
      <w:r w:rsidR="007F76E7">
        <w:t>indiquée</w:t>
      </w:r>
      <w:r>
        <w:t xml:space="preserve">, alors que dans une autre région, les membres </w:t>
      </w:r>
      <w:r w:rsidR="00D7459E">
        <w:t xml:space="preserve">pourraient </w:t>
      </w:r>
      <w:r>
        <w:t>demand</w:t>
      </w:r>
      <w:r w:rsidR="00D7459E">
        <w:t>er</w:t>
      </w:r>
      <w:r>
        <w:t xml:space="preserve"> </w:t>
      </w:r>
      <w:r w:rsidR="007F76E7">
        <w:t xml:space="preserve">à recevoir </w:t>
      </w:r>
      <w:r>
        <w:t xml:space="preserve">une formation sur le partenariat. </w:t>
      </w:r>
    </w:p>
    <w:p w:rsidR="0075266C" w:rsidRDefault="0075266C" w:rsidP="004E6B15">
      <w:r>
        <w:t>Ce financement est accordé en plus du financement à la mission</w:t>
      </w:r>
      <w:r w:rsidR="007F76E7">
        <w:t>,</w:t>
      </w:r>
      <w:r>
        <w:t xml:space="preserve"> puisque la mise en place de formation</w:t>
      </w:r>
      <w:r w:rsidR="00D7459E">
        <w:t>s</w:t>
      </w:r>
      <w:r>
        <w:t xml:space="preserve"> nécessite des coûts supplémentaires : embauche de ressource</w:t>
      </w:r>
      <w:r w:rsidR="004519E7">
        <w:t>s</w:t>
      </w:r>
      <w:r>
        <w:t xml:space="preserve"> externe</w:t>
      </w:r>
      <w:r w:rsidR="004519E7">
        <w:t>s</w:t>
      </w:r>
      <w:r>
        <w:t xml:space="preserve"> en fonction de l’expertise, frais de déplacement plus ou moins grand </w:t>
      </w:r>
      <w:r w:rsidR="004519E7">
        <w:t>selon l</w:t>
      </w:r>
      <w:r>
        <w:t>es régions, matériel pédagogique, etc. Il permet d’offrir un perfectionnement des membres par de la formation.</w:t>
      </w:r>
    </w:p>
    <w:p w:rsidR="0075266C" w:rsidRDefault="008A3F73" w:rsidP="004E6B15">
      <w:r>
        <w:t>Pour certains de nos membres, l</w:t>
      </w:r>
      <w:r w:rsidR="0075266C">
        <w:t xml:space="preserve">a demande de financement </w:t>
      </w:r>
      <w:r w:rsidR="004D3F21">
        <w:t>s</w:t>
      </w:r>
      <w:r w:rsidR="0075266C">
        <w:t>e fait en dehors de la demande PSOC</w:t>
      </w:r>
      <w:r>
        <w:t xml:space="preserve"> annuel</w:t>
      </w:r>
      <w:r w:rsidR="004519E7">
        <w:t>le</w:t>
      </w:r>
      <w:r>
        <w:t xml:space="preserve">. Ils </w:t>
      </w:r>
      <w:r w:rsidR="004D3F21">
        <w:t xml:space="preserve">doivent </w:t>
      </w:r>
      <w:r>
        <w:t>donc présenter leur projet, l’offre de formation qu’ils comptent offrir et l’estimation des coûts.</w:t>
      </w:r>
      <w:r w:rsidR="0075266C">
        <w:t xml:space="preserve"> </w:t>
      </w:r>
    </w:p>
    <w:p w:rsidR="008A3F73" w:rsidRDefault="00B53B21" w:rsidP="004E6B15">
      <w:r w:rsidRPr="00E67F2C">
        <w:t xml:space="preserve">Doit-on comprendre que les membres de la CTROC devront présenter une demande de subvention </w:t>
      </w:r>
      <w:r w:rsidR="00E67F2C" w:rsidRPr="00E67F2C">
        <w:t xml:space="preserve">au ministre </w:t>
      </w:r>
      <w:r w:rsidRPr="00E67F2C">
        <w:t>pour des activités rel</w:t>
      </w:r>
      <w:r w:rsidR="004E7680">
        <w:t>atives au perfectionnement de leur</w:t>
      </w:r>
      <w:r w:rsidRPr="00E67F2C">
        <w:t>s membres?</w:t>
      </w:r>
      <w:r w:rsidR="008A3F73">
        <w:t xml:space="preserve"> </w:t>
      </w:r>
    </w:p>
    <w:p w:rsidR="008A3F73" w:rsidRDefault="008A3F73" w:rsidP="004E6B15">
      <w:r>
        <w:t>Considérant que l’octroi des subventions aux organismes communautaires demeure une responsabilité de l’instance régionale,</w:t>
      </w:r>
      <w:r w:rsidR="004E7680">
        <w:t xml:space="preserve"> nous faisons la proposition suivante :</w:t>
      </w:r>
    </w:p>
    <w:p w:rsidR="004E7680" w:rsidRDefault="004E7680" w:rsidP="004E6B15"/>
    <w:p w:rsidR="00E67F2C" w:rsidRDefault="000B406A" w:rsidP="00E67F2C">
      <w:pPr>
        <w:pBdr>
          <w:top w:val="single" w:sz="4" w:space="1" w:color="auto"/>
          <w:left w:val="single" w:sz="4" w:space="4" w:color="auto"/>
          <w:bottom w:val="single" w:sz="4" w:space="1" w:color="auto"/>
          <w:right w:val="single" w:sz="4" w:space="4" w:color="auto"/>
        </w:pBdr>
        <w:rPr>
          <w:b/>
        </w:rPr>
      </w:pPr>
      <w:r>
        <w:rPr>
          <w:b/>
        </w:rPr>
        <w:t>R</w:t>
      </w:r>
      <w:r w:rsidR="008F598C">
        <w:rPr>
          <w:b/>
        </w:rPr>
        <w:t>ecommandation</w:t>
      </w:r>
      <w:r w:rsidR="005A1776">
        <w:rPr>
          <w:b/>
        </w:rPr>
        <w:t> </w:t>
      </w:r>
      <w:r w:rsidR="008F598C">
        <w:rPr>
          <w:b/>
        </w:rPr>
        <w:t>1</w:t>
      </w:r>
      <w:r w:rsidR="00B97B00">
        <w:rPr>
          <w:b/>
        </w:rPr>
        <w:t>1</w:t>
      </w:r>
    </w:p>
    <w:p w:rsidR="0038621D" w:rsidRPr="004E7680" w:rsidRDefault="008A3F73" w:rsidP="004E7680">
      <w:pPr>
        <w:pBdr>
          <w:top w:val="single" w:sz="4" w:space="1" w:color="auto"/>
          <w:left w:val="single" w:sz="4" w:space="4" w:color="auto"/>
          <w:bottom w:val="single" w:sz="4" w:space="1" w:color="auto"/>
          <w:right w:val="single" w:sz="4" w:space="4" w:color="auto"/>
        </w:pBdr>
        <w:rPr>
          <w:b/>
        </w:rPr>
      </w:pPr>
      <w:r w:rsidRPr="008A3F73">
        <w:rPr>
          <w:b/>
        </w:rPr>
        <w:t>Nous recommandons que les fonctions prévues à l’article</w:t>
      </w:r>
      <w:r w:rsidR="005A1776">
        <w:rPr>
          <w:b/>
        </w:rPr>
        <w:t> </w:t>
      </w:r>
      <w:r w:rsidRPr="008A3F73">
        <w:rPr>
          <w:b/>
        </w:rPr>
        <w:t xml:space="preserve">376 premier alinéa, </w:t>
      </w:r>
      <w:r w:rsidRPr="008A3F73">
        <w:rPr>
          <w:b/>
          <w:vertAlign w:val="superscript"/>
        </w:rPr>
        <w:t>o</w:t>
      </w:r>
      <w:r w:rsidRPr="008A3F73">
        <w:rPr>
          <w:b/>
        </w:rPr>
        <w:t>3 sur l’aide aux organismes communautaires pour les activités de perfectionnement de leurs membres soient exercées par l’instance régionale.</w:t>
      </w:r>
      <w:r w:rsidR="0038621D">
        <w:br w:type="page"/>
      </w:r>
    </w:p>
    <w:p w:rsidR="008A3F73" w:rsidRDefault="00A03133" w:rsidP="00FE229A">
      <w:pPr>
        <w:pStyle w:val="Titre2"/>
      </w:pPr>
      <w:bookmarkStart w:id="10" w:name="_Toc403383314"/>
      <w:r>
        <w:lastRenderedPageBreak/>
        <w:t xml:space="preserve">6. </w:t>
      </w:r>
      <w:r w:rsidR="00575DFE">
        <w:t>Rôle des regroupements régionaux</w:t>
      </w:r>
      <w:bookmarkEnd w:id="10"/>
      <w:r w:rsidR="00575DFE">
        <w:t xml:space="preserve"> </w:t>
      </w:r>
    </w:p>
    <w:p w:rsidR="004E7680" w:rsidRPr="004E7680" w:rsidRDefault="004E7680" w:rsidP="004E7680"/>
    <w:p w:rsidR="00EA4C49" w:rsidRDefault="00EA4C49" w:rsidP="004E6B15">
      <w:r>
        <w:t>Finalement, la question des liens entre le décideur et bailleur de fonds et les organismes communautaires demeure au cœur de nos préoccupations. Les membres de la CTROC parti</w:t>
      </w:r>
      <w:r w:rsidR="004E7680">
        <w:t>cipent depuis vingt ans déjà à des</w:t>
      </w:r>
      <w:r>
        <w:t xml:space="preserve"> travaux avec les instances régionales lorsque les enjeux </w:t>
      </w:r>
      <w:r w:rsidR="001F53ED">
        <w:t>concernent le milieu communautaire</w:t>
      </w:r>
      <w:r>
        <w:t>.</w:t>
      </w:r>
      <w:r w:rsidR="004E7680">
        <w:t xml:space="preserve"> Les regroupements régionaux ont mis en place, en concertation avec les Agences de santé et autres acteurs concernés,</w:t>
      </w:r>
      <w:r>
        <w:t xml:space="preserve"> des cadres de références qui </w:t>
      </w:r>
      <w:r w:rsidR="00AD1ED9">
        <w:t>encadrent les</w:t>
      </w:r>
      <w:r>
        <w:t xml:space="preserve"> liens entre les organismes communautaires et l’instance régionale, des critères de reconnaissances</w:t>
      </w:r>
      <w:r w:rsidR="00AD1ED9">
        <w:t>,</w:t>
      </w:r>
      <w:r>
        <w:t xml:space="preserve"> de même que des règles </w:t>
      </w:r>
      <w:r w:rsidR="00AD1ED9">
        <w:t>concernant l’</w:t>
      </w:r>
      <w:r>
        <w:t>attribu</w:t>
      </w:r>
      <w:r w:rsidR="00AD1ED9">
        <w:t xml:space="preserve">tion </w:t>
      </w:r>
      <w:r>
        <w:t>du financement. Nous comptons jouer le même rôle auprès de l’instance régional</w:t>
      </w:r>
      <w:r w:rsidR="005A1776">
        <w:t xml:space="preserve">e </w:t>
      </w:r>
      <w:r>
        <w:t>qui sera créé</w:t>
      </w:r>
      <w:r w:rsidR="0038621D">
        <w:t>e</w:t>
      </w:r>
      <w:r w:rsidR="00AD1ED9">
        <w:t xml:space="preserve"> et </w:t>
      </w:r>
      <w:r w:rsidR="00386759">
        <w:t>espérons</w:t>
      </w:r>
      <w:r w:rsidR="00AD1ED9">
        <w:t xml:space="preserve"> que le travail antérieur sera reconnu</w:t>
      </w:r>
      <w:r>
        <w:t>.</w:t>
      </w:r>
    </w:p>
    <w:p w:rsidR="008F598C" w:rsidRDefault="008F598C" w:rsidP="003D1313">
      <w:pPr>
        <w:rPr>
          <w:b/>
        </w:rPr>
      </w:pPr>
    </w:p>
    <w:p w:rsidR="008F598C" w:rsidRDefault="00621233" w:rsidP="008F7633">
      <w:pPr>
        <w:pBdr>
          <w:top w:val="single" w:sz="4" w:space="1" w:color="auto"/>
          <w:left w:val="single" w:sz="4" w:space="4" w:color="auto"/>
          <w:bottom w:val="single" w:sz="4" w:space="1" w:color="auto"/>
          <w:right w:val="single" w:sz="4" w:space="4" w:color="auto"/>
        </w:pBdr>
        <w:rPr>
          <w:b/>
        </w:rPr>
      </w:pPr>
      <w:r>
        <w:rPr>
          <w:b/>
        </w:rPr>
        <w:t>R</w:t>
      </w:r>
      <w:r w:rsidR="008F598C">
        <w:rPr>
          <w:b/>
        </w:rPr>
        <w:t>ecommandation</w:t>
      </w:r>
      <w:r w:rsidR="005A1776">
        <w:rPr>
          <w:b/>
        </w:rPr>
        <w:t> </w:t>
      </w:r>
      <w:r w:rsidR="008F598C">
        <w:rPr>
          <w:b/>
        </w:rPr>
        <w:t>1</w:t>
      </w:r>
      <w:r w:rsidR="00B97B00">
        <w:rPr>
          <w:b/>
        </w:rPr>
        <w:t>2</w:t>
      </w:r>
    </w:p>
    <w:p w:rsidR="003D1313" w:rsidRPr="008F598C" w:rsidRDefault="003D1313" w:rsidP="008F7633">
      <w:pPr>
        <w:pBdr>
          <w:top w:val="single" w:sz="4" w:space="1" w:color="auto"/>
          <w:left w:val="single" w:sz="4" w:space="4" w:color="auto"/>
          <w:bottom w:val="single" w:sz="4" w:space="1" w:color="auto"/>
          <w:right w:val="single" w:sz="4" w:space="4" w:color="auto"/>
        </w:pBdr>
        <w:rPr>
          <w:b/>
        </w:rPr>
      </w:pPr>
      <w:r w:rsidRPr="003D1313">
        <w:rPr>
          <w:b/>
        </w:rPr>
        <w:t xml:space="preserve">Nous recommandons que le ministre </w:t>
      </w:r>
      <w:r w:rsidR="00AD1ED9" w:rsidRPr="003D1313">
        <w:rPr>
          <w:b/>
        </w:rPr>
        <w:t>préconise</w:t>
      </w:r>
      <w:r w:rsidRPr="003D1313">
        <w:rPr>
          <w:b/>
        </w:rPr>
        <w:t xml:space="preserve"> la participation des regroupements régionaux d’organismes communautaires au processus de transition avant l</w:t>
      </w:r>
      <w:r w:rsidR="00DE31C1">
        <w:rPr>
          <w:b/>
        </w:rPr>
        <w:t>’implantation éventuelle de la l</w:t>
      </w:r>
      <w:r w:rsidRPr="003D1313">
        <w:rPr>
          <w:b/>
        </w:rPr>
        <w:t>oi</w:t>
      </w:r>
      <w:r w:rsidR="005A1776">
        <w:rPr>
          <w:b/>
        </w:rPr>
        <w:t> </w:t>
      </w:r>
      <w:r w:rsidRPr="003D1313">
        <w:rPr>
          <w:b/>
        </w:rPr>
        <w:t>10</w:t>
      </w:r>
      <w:r>
        <w:rPr>
          <w:b/>
        </w:rPr>
        <w:t>, ceci incluant les comités qui pourraient travailler sur des enjeux touchant de près ou de loin les organismes communautaires</w:t>
      </w:r>
      <w:r w:rsidRPr="003D1313">
        <w:rPr>
          <w:b/>
        </w:rPr>
        <w:t>.</w:t>
      </w:r>
      <w:r w:rsidRPr="003D1313">
        <w:t xml:space="preserve"> </w:t>
      </w:r>
    </w:p>
    <w:p w:rsidR="00575DFE" w:rsidRDefault="00575DFE"/>
    <w:p w:rsidR="00575DFE" w:rsidRDefault="00575DFE"/>
    <w:p w:rsidR="00575DFE" w:rsidRDefault="00575DFE">
      <w:pPr>
        <w:rPr>
          <w:rFonts w:asciiTheme="majorHAnsi" w:eastAsiaTheme="majorEastAsia" w:hAnsiTheme="majorHAnsi" w:cstheme="majorBidi"/>
          <w:b/>
          <w:bCs/>
          <w:color w:val="4F81BD" w:themeColor="accent1"/>
          <w:sz w:val="26"/>
          <w:szCs w:val="26"/>
        </w:rPr>
      </w:pPr>
      <w:r>
        <w:br w:type="page"/>
      </w:r>
    </w:p>
    <w:p w:rsidR="00575DFE" w:rsidRDefault="00575DFE" w:rsidP="00575DFE">
      <w:pPr>
        <w:pStyle w:val="Titre2"/>
      </w:pPr>
      <w:bookmarkStart w:id="11" w:name="_Toc403383315"/>
      <w:r>
        <w:lastRenderedPageBreak/>
        <w:t>En conclusion</w:t>
      </w:r>
      <w:bookmarkEnd w:id="11"/>
    </w:p>
    <w:p w:rsidR="00AD1ED9" w:rsidRDefault="00AD1ED9" w:rsidP="00575DFE"/>
    <w:p w:rsidR="00575DFE" w:rsidRDefault="00AD1ED9" w:rsidP="00575DFE">
      <w:r>
        <w:t>En conclusion, nous tenons à dire qu’actuellement, les membres de la CTROC sont</w:t>
      </w:r>
      <w:r w:rsidR="00575DFE">
        <w:t xml:space="preserve"> très inquiets de l’orientation que semble vouloir prendre le ministre</w:t>
      </w:r>
      <w:r w:rsidR="00D7459E">
        <w:t xml:space="preserve"> par le biais de ce projet de l</w:t>
      </w:r>
      <w:r>
        <w:t>oi</w:t>
      </w:r>
      <w:r w:rsidR="00575DFE">
        <w:t xml:space="preserve">. Nous </w:t>
      </w:r>
      <w:r>
        <w:t>percevons ici de sérieuses menaces à l’existence et à la consolidation des</w:t>
      </w:r>
      <w:r w:rsidR="00575DFE">
        <w:t xml:space="preserve"> services sociaux</w:t>
      </w:r>
      <w:r>
        <w:t>, qui sont essentiels au bien-être de la population québécoise</w:t>
      </w:r>
      <w:r w:rsidR="00575DFE">
        <w:t>. Le projet de loi</w:t>
      </w:r>
      <w:r w:rsidR="005A1776">
        <w:t> </w:t>
      </w:r>
      <w:r w:rsidR="00575DFE">
        <w:t>10 annonce la création de superstructures qui seront naturellement centralisées autour des centres hospitaliers.</w:t>
      </w:r>
    </w:p>
    <w:p w:rsidR="00575DFE" w:rsidRDefault="00575DFE" w:rsidP="00575DFE">
      <w:r>
        <w:t>Par exemple, les besoins d’une maison de jeunes pourraient être très vite oubliés lorsque viendra le temps de répartir les enveloppes jeunesse. Pire encore, les enveloppes jeunesse pourraient être très vite limitées lorsque le centre hospitalier aura besoin d’acheter de nouveaux appareils diagnostics.</w:t>
      </w:r>
      <w:r w:rsidR="00AD1ED9">
        <w:t xml:space="preserve"> C’est </w:t>
      </w:r>
      <w:r w:rsidR="00D7459E">
        <w:t xml:space="preserve">donc </w:t>
      </w:r>
      <w:r w:rsidR="00AD1ED9">
        <w:t>aussi toute l’approche préventive qui est menacée.</w:t>
      </w:r>
    </w:p>
    <w:p w:rsidR="00F51CFC" w:rsidRDefault="00AD1ED9" w:rsidP="00575DFE">
      <w:r>
        <w:t>Surtout</w:t>
      </w:r>
      <w:r w:rsidR="00575DFE">
        <w:t xml:space="preserve">, la fusion de l’ensemble des établissements locaux et la centralisation au sein d’un seul siège social pour l’ensemble d’une région </w:t>
      </w:r>
      <w:proofErr w:type="spellStart"/>
      <w:r w:rsidR="00575DFE">
        <w:t>sociosanitaire</w:t>
      </w:r>
      <w:proofErr w:type="spellEnd"/>
      <w:r w:rsidR="00575DFE">
        <w:t xml:space="preserve"> nous interpelle</w:t>
      </w:r>
      <w:r>
        <w:t xml:space="preserve"> particulièrement</w:t>
      </w:r>
      <w:r w:rsidR="00575DFE">
        <w:t>.</w:t>
      </w:r>
      <w:r>
        <w:t xml:space="preserve"> La régionalisation visait à rapprocher les décisions des citoyens, en respect des </w:t>
      </w:r>
      <w:r w:rsidR="00F51CFC">
        <w:t>spécificités de chaque milieu</w:t>
      </w:r>
      <w:r>
        <w:t xml:space="preserve"> et </w:t>
      </w:r>
      <w:r w:rsidR="00F51CFC">
        <w:t xml:space="preserve">visait à </w:t>
      </w:r>
      <w:r>
        <w:t xml:space="preserve">atteindre une meilleure prestation de services, adaptée aux réalités de chaque région. Un pouvoir de décision centralisé permettra-t-il une </w:t>
      </w:r>
      <w:r w:rsidR="00F51CFC">
        <w:t>adaptation</w:t>
      </w:r>
      <w:r>
        <w:t xml:space="preserve"> aux besoins </w:t>
      </w:r>
      <w:r w:rsidR="00F51CFC">
        <w:t>régionaux</w:t>
      </w:r>
      <w:r w:rsidR="005A1776">
        <w:t>?</w:t>
      </w:r>
      <w:r>
        <w:t xml:space="preserve"> </w:t>
      </w:r>
      <w:r w:rsidR="00F51CFC">
        <w:t>Assisterons</w:t>
      </w:r>
      <w:r w:rsidR="005A1776">
        <w:t>-</w:t>
      </w:r>
      <w:r w:rsidR="00F51CFC">
        <w:t xml:space="preserve">nous au </w:t>
      </w:r>
      <w:r>
        <w:t>retour de programme</w:t>
      </w:r>
      <w:r w:rsidR="00F51CFC">
        <w:t>s</w:t>
      </w:r>
      <w:r>
        <w:t xml:space="preserve"> </w:t>
      </w:r>
      <w:r w:rsidR="005A1776">
        <w:t>« </w:t>
      </w:r>
      <w:r>
        <w:t>mur à mur</w:t>
      </w:r>
      <w:r w:rsidR="005A1776">
        <w:t> » </w:t>
      </w:r>
      <w:r>
        <w:t xml:space="preserve"> </w:t>
      </w:r>
      <w:r w:rsidR="00F51CFC">
        <w:t>inefficaces</w:t>
      </w:r>
      <w:r>
        <w:t xml:space="preserve"> dans plusieurs régions?  </w:t>
      </w:r>
    </w:p>
    <w:p w:rsidR="00575DFE" w:rsidRDefault="00F51CFC" w:rsidP="00575DFE">
      <w:r w:rsidRPr="000D3C91">
        <w:t>Finalement, qu’en</w:t>
      </w:r>
      <w:r w:rsidR="00AD1ED9" w:rsidRPr="000D3C91">
        <w:t xml:space="preserve"> sera-t-il des services de santé </w:t>
      </w:r>
      <w:r w:rsidR="00DE31C1" w:rsidRPr="000D3C91">
        <w:t xml:space="preserve">et des services sociaux </w:t>
      </w:r>
      <w:r w:rsidR="00AD1ED9" w:rsidRPr="000D3C91">
        <w:t>en région</w:t>
      </w:r>
      <w:r w:rsidR="005A1776" w:rsidRPr="000D3C91">
        <w:t>?</w:t>
      </w:r>
      <w:r w:rsidR="00575DFE" w:rsidRPr="000D3C91">
        <w:t xml:space="preserve"> Comment peut-on garantir le maintien de service</w:t>
      </w:r>
      <w:r w:rsidR="00AD1ED9" w:rsidRPr="000D3C91">
        <w:t>s</w:t>
      </w:r>
      <w:r w:rsidR="00575DFE" w:rsidRPr="000D3C91">
        <w:t xml:space="preserve"> dans les municipalités rurales et éloignées des grands centres? Lorsqu’il sera question d</w:t>
      </w:r>
      <w:r w:rsidRPr="000D3C91">
        <w:t>e mettre en place</w:t>
      </w:r>
      <w:r w:rsidR="00575DFE" w:rsidRPr="000D3C91">
        <w:t xml:space="preserve"> les compressions budgétaires, décidera-t-on d’arrêter </w:t>
      </w:r>
      <w:r w:rsidR="00D7459E" w:rsidRPr="000D3C91">
        <w:t>d’offrir des services d’urgence</w:t>
      </w:r>
      <w:r w:rsidR="00575DFE" w:rsidRPr="000D3C91">
        <w:t xml:space="preserve"> dans une région desservant à peine 5 000 habitants</w:t>
      </w:r>
      <w:r w:rsidR="00AD1ED9" w:rsidRPr="000D3C91">
        <w:t>,</w:t>
      </w:r>
      <w:r w:rsidR="00575DFE" w:rsidRPr="000D3C91">
        <w:t xml:space="preserve"> alors que l’urgence dans la ville centre déborde et que des ressources supplémentaires d</w:t>
      </w:r>
      <w:r w:rsidRPr="000D3C91">
        <w:t>oiven</w:t>
      </w:r>
      <w:r w:rsidR="00575DFE" w:rsidRPr="000D3C91">
        <w:t>t lui être octroyé</w:t>
      </w:r>
      <w:r w:rsidR="00AD1ED9" w:rsidRPr="000D3C91">
        <w:t>es</w:t>
      </w:r>
      <w:r w:rsidR="005A1776" w:rsidRPr="000D3C91">
        <w:t>?</w:t>
      </w:r>
      <w:r w:rsidR="00AD1ED9" w:rsidRPr="000D3C91">
        <w:t xml:space="preserve"> Dans un contexte de compressions bud</w:t>
      </w:r>
      <w:r w:rsidR="00D7459E" w:rsidRPr="000D3C91">
        <w:t>gétaires, le présent projet de l</w:t>
      </w:r>
      <w:r w:rsidR="00AD1ED9" w:rsidRPr="000D3C91">
        <w:t>oi fait craindre le pire à nos membres et à plusieurs autres intervenant</w:t>
      </w:r>
      <w:r w:rsidR="005A1776" w:rsidRPr="000D3C91">
        <w:t xml:space="preserve">s </w:t>
      </w:r>
      <w:r w:rsidR="00AD1ED9" w:rsidRPr="000D3C91">
        <w:t>sociaux concernant la régionalisation des services de santé et des services sociaux.</w:t>
      </w:r>
      <w:bookmarkStart w:id="12" w:name="_GoBack"/>
      <w:bookmarkEnd w:id="12"/>
      <w:r w:rsidR="00AD1ED9">
        <w:t xml:space="preserve"> </w:t>
      </w:r>
    </w:p>
    <w:p w:rsidR="00641943" w:rsidRDefault="00641943">
      <w:r>
        <w:br w:type="page"/>
      </w:r>
    </w:p>
    <w:p w:rsidR="00EA4C49" w:rsidRDefault="00641943" w:rsidP="00641943">
      <w:pPr>
        <w:pStyle w:val="Titre2"/>
      </w:pPr>
      <w:bookmarkStart w:id="13" w:name="_Toc403383316"/>
      <w:r>
        <w:lastRenderedPageBreak/>
        <w:t>Synthèse des recommandations</w:t>
      </w:r>
      <w:bookmarkEnd w:id="13"/>
    </w:p>
    <w:p w:rsidR="003F60D7" w:rsidRPr="003F60D7" w:rsidRDefault="003F60D7" w:rsidP="00D7459E">
      <w:pPr>
        <w:pStyle w:val="Paragraphedeliste"/>
        <w:numPr>
          <w:ilvl w:val="0"/>
          <w:numId w:val="1"/>
        </w:numPr>
        <w:spacing w:before="480" w:after="240"/>
        <w:ind w:left="426" w:hanging="426"/>
      </w:pPr>
      <w:r w:rsidRPr="003F60D7">
        <w:t xml:space="preserve">Nous recommandons de prévoir un mécanisme pour protéger les ressources et les budgets consentis à la mission préventive et aux services sociaux du réseau de la santé et des services sociaux, et un accès équitable pour ces missions aux nouveaux budgets alloués, le cas échéant. </w:t>
      </w:r>
    </w:p>
    <w:p w:rsidR="003F60D7" w:rsidRPr="003F60D7" w:rsidRDefault="003F60D7" w:rsidP="00D7459E">
      <w:pPr>
        <w:pStyle w:val="Paragraphedeliste"/>
        <w:numPr>
          <w:ilvl w:val="0"/>
          <w:numId w:val="1"/>
        </w:numPr>
        <w:spacing w:before="480" w:after="240"/>
        <w:ind w:left="426" w:hanging="426"/>
      </w:pPr>
      <w:r w:rsidRPr="003F60D7">
        <w:t xml:space="preserve">Nous recommandons de préciser que toutes les dispositions donnant de nouveaux pouvoirs au ministre sont liées à des mesures transitoires et que des délais d’application soient inscrits pour ces mesures transitoires. </w:t>
      </w:r>
    </w:p>
    <w:p w:rsidR="00477EC8" w:rsidRDefault="006C1AAE" w:rsidP="00D7459E">
      <w:pPr>
        <w:pStyle w:val="Paragraphedeliste"/>
        <w:numPr>
          <w:ilvl w:val="0"/>
          <w:numId w:val="1"/>
        </w:numPr>
        <w:spacing w:before="480" w:after="240"/>
        <w:ind w:left="426" w:hanging="426"/>
      </w:pPr>
      <w:r>
        <w:t>Nous recommandons que soit retiré</w:t>
      </w:r>
      <w:r w:rsidR="00477EC8">
        <w:t xml:space="preserve"> du </w:t>
      </w:r>
      <w:r w:rsidR="003F60D7">
        <w:t>projet de loi</w:t>
      </w:r>
      <w:r w:rsidR="005A1776">
        <w:t> </w:t>
      </w:r>
      <w:r w:rsidR="003F60D7">
        <w:t xml:space="preserve">10 </w:t>
      </w:r>
      <w:r w:rsidR="00477EC8">
        <w:t>l’article</w:t>
      </w:r>
      <w:r w:rsidR="005A1776">
        <w:t> </w:t>
      </w:r>
      <w:r w:rsidR="00477EC8">
        <w:t>129</w:t>
      </w:r>
      <w:r w:rsidR="003F60D7">
        <w:t>.</w:t>
      </w:r>
      <w:r w:rsidR="00477EC8">
        <w:t xml:space="preserve"> </w:t>
      </w:r>
    </w:p>
    <w:p w:rsidR="00477EC8" w:rsidRDefault="00477EC8" w:rsidP="00D7459E">
      <w:pPr>
        <w:pStyle w:val="Paragraphedeliste"/>
        <w:numPr>
          <w:ilvl w:val="0"/>
          <w:numId w:val="1"/>
        </w:numPr>
        <w:spacing w:before="480" w:after="240"/>
        <w:ind w:left="426" w:hanging="426"/>
      </w:pPr>
      <w:r>
        <w:t>Nous recommandons que l’article</w:t>
      </w:r>
      <w:r w:rsidR="005A1776">
        <w:t> </w:t>
      </w:r>
      <w:r>
        <w:t>318 de la Loi sur les services de santé et les services sociaux soit abrogé.</w:t>
      </w:r>
    </w:p>
    <w:p w:rsidR="003F60D7" w:rsidRPr="003F60D7" w:rsidRDefault="003F60D7" w:rsidP="00D7459E">
      <w:pPr>
        <w:pStyle w:val="Paragraphedeliste"/>
        <w:numPr>
          <w:ilvl w:val="0"/>
          <w:numId w:val="1"/>
        </w:numPr>
        <w:spacing w:before="480" w:after="240"/>
        <w:ind w:left="426" w:hanging="426"/>
      </w:pPr>
      <w:r w:rsidRPr="003F60D7">
        <w:t>Nous recommandons l’ajout à l’article</w:t>
      </w:r>
      <w:r w:rsidR="005A1776">
        <w:t> </w:t>
      </w:r>
      <w:r w:rsidRPr="003F60D7">
        <w:t>11 du profil de compétences communautaire</w:t>
      </w:r>
      <w:r w:rsidR="005A1776">
        <w:t xml:space="preserve">s </w:t>
      </w:r>
      <w:r w:rsidRPr="003F60D7">
        <w:t>et de personnes élues représentantes de la population.</w:t>
      </w:r>
    </w:p>
    <w:p w:rsidR="006D7403" w:rsidRPr="00641943" w:rsidRDefault="006D7403" w:rsidP="00D7459E">
      <w:pPr>
        <w:pStyle w:val="Paragraphedeliste"/>
        <w:numPr>
          <w:ilvl w:val="0"/>
          <w:numId w:val="1"/>
        </w:numPr>
        <w:spacing w:before="480" w:after="240"/>
        <w:ind w:left="426" w:hanging="426"/>
      </w:pPr>
      <w:r w:rsidRPr="006D7403">
        <w:t>Nous recommandons que le PSOC soit géré</w:t>
      </w:r>
      <w:r w:rsidR="00D7459E">
        <w:t xml:space="preserve"> par un département distinct de</w:t>
      </w:r>
      <w:r w:rsidRPr="006D7403">
        <w:t xml:space="preserve"> celui qui sera </w:t>
      </w:r>
      <w:r w:rsidR="005A1776">
        <w:t>responsabl</w:t>
      </w:r>
      <w:r w:rsidRPr="006D7403">
        <w:t>e des autres formes de financement qui peuvent toucher les organismes communautaires (ententes de services, financement par projet en santé publique, etc.).</w:t>
      </w:r>
    </w:p>
    <w:p w:rsidR="00DE31C1" w:rsidRDefault="00641943" w:rsidP="00D7459E">
      <w:pPr>
        <w:pStyle w:val="Paragraphedeliste"/>
        <w:numPr>
          <w:ilvl w:val="0"/>
          <w:numId w:val="1"/>
        </w:numPr>
        <w:spacing w:before="480" w:after="240"/>
        <w:ind w:left="426" w:hanging="426"/>
      </w:pPr>
      <w:r w:rsidRPr="00641943">
        <w:t>Nous recommandons d’exclure le PSOC de la gestion budgétaire par programme</w:t>
      </w:r>
      <w:r w:rsidR="005A1776">
        <w:t xml:space="preserve"> </w:t>
      </w:r>
      <w:r w:rsidRPr="00641943">
        <w:t>service</w:t>
      </w:r>
    </w:p>
    <w:p w:rsidR="00DE31C1" w:rsidRPr="00DE31C1" w:rsidRDefault="00DE31C1" w:rsidP="00D7459E">
      <w:pPr>
        <w:pStyle w:val="Paragraphedeliste"/>
        <w:numPr>
          <w:ilvl w:val="0"/>
          <w:numId w:val="1"/>
        </w:numPr>
        <w:spacing w:before="480" w:after="240"/>
        <w:ind w:left="426" w:hanging="426"/>
      </w:pPr>
      <w:r w:rsidRPr="00DE31C1">
        <w:rPr>
          <w:rFonts w:ascii="Calibri" w:hAnsi="Calibri"/>
          <w:color w:val="000000"/>
        </w:rPr>
        <w:t>Nous recommandons que l’établissement régional demeure responsable d’élaborer un plan stratégique pluriannuel pour le territoire de sa région et que ce plan soit approuvé par le ministre, conformément aux articles</w:t>
      </w:r>
      <w:r w:rsidR="005A1776">
        <w:rPr>
          <w:rFonts w:ascii="Calibri" w:hAnsi="Calibri"/>
          <w:color w:val="000000"/>
        </w:rPr>
        <w:t> </w:t>
      </w:r>
      <w:r w:rsidRPr="00DE31C1">
        <w:rPr>
          <w:rFonts w:ascii="Calibri" w:hAnsi="Calibri"/>
          <w:color w:val="000000"/>
        </w:rPr>
        <w:t xml:space="preserve">346.1 et 346.2 de la LSSS. </w:t>
      </w:r>
    </w:p>
    <w:p w:rsidR="006D7403" w:rsidRDefault="006D7403" w:rsidP="00D7459E">
      <w:pPr>
        <w:pStyle w:val="Paragraphedeliste"/>
        <w:numPr>
          <w:ilvl w:val="0"/>
          <w:numId w:val="1"/>
        </w:numPr>
        <w:spacing w:before="480" w:after="240"/>
        <w:ind w:left="426" w:hanging="426"/>
      </w:pPr>
      <w:r>
        <w:t>Nous recommandons que l’article</w:t>
      </w:r>
      <w:r w:rsidR="005A1776">
        <w:t> </w:t>
      </w:r>
      <w:r>
        <w:t>64 soit modifié par</w:t>
      </w:r>
      <w:r w:rsidR="005A1776">
        <w:t> </w:t>
      </w:r>
      <w:r>
        <w:t>: «</w:t>
      </w:r>
      <w:r w:rsidR="005A1776">
        <w:t> </w:t>
      </w:r>
      <w:r>
        <w:t>l’article</w:t>
      </w:r>
      <w:r w:rsidR="005A1776">
        <w:t> </w:t>
      </w:r>
      <w:r>
        <w:t>346.3 de la LSSSS ne s’applique pas à un établissement régional.</w:t>
      </w:r>
      <w:r w:rsidR="005A1776">
        <w:t> </w:t>
      </w:r>
      <w:r>
        <w:t>»</w:t>
      </w:r>
    </w:p>
    <w:p w:rsidR="006D7403" w:rsidRDefault="006D7403" w:rsidP="00D7459E">
      <w:pPr>
        <w:pStyle w:val="Paragraphedeliste"/>
        <w:numPr>
          <w:ilvl w:val="0"/>
          <w:numId w:val="1"/>
        </w:numPr>
        <w:spacing w:before="480" w:after="240"/>
        <w:ind w:left="426" w:hanging="426"/>
      </w:pPr>
      <w:r w:rsidRPr="006D7403">
        <w:t>Nous recommandons le maintien d’une structure de coordination régionale du réseau de la santé et des services sociaux pour la région de Montréal. Cette structure devrait relever directement du MSSS pour avoir l’autorité nécessaire face aux cinq CISSS de la région et aux autres établissements. Cette mesure devrait également être envisagée pour toute région possédant plus d’un établissement</w:t>
      </w:r>
      <w:r w:rsidR="00D7459E">
        <w:t xml:space="preserve"> régional</w:t>
      </w:r>
      <w:r w:rsidRPr="006D7403">
        <w:t>.</w:t>
      </w:r>
    </w:p>
    <w:p w:rsidR="006D7403" w:rsidRDefault="006D7403" w:rsidP="00D7459E">
      <w:pPr>
        <w:pStyle w:val="Paragraphedeliste"/>
        <w:numPr>
          <w:ilvl w:val="0"/>
          <w:numId w:val="1"/>
        </w:numPr>
        <w:spacing w:before="480" w:after="240"/>
        <w:ind w:left="426" w:hanging="426"/>
      </w:pPr>
      <w:r w:rsidRPr="006D7403">
        <w:t>Nous recommandons que les fonctions prévues</w:t>
      </w:r>
      <w:r w:rsidR="00D7459E">
        <w:t xml:space="preserve"> à l’article</w:t>
      </w:r>
      <w:r w:rsidR="005A1776">
        <w:t> </w:t>
      </w:r>
      <w:r w:rsidR="00D7459E">
        <w:t>376 premier alinéa</w:t>
      </w:r>
      <w:r w:rsidR="005A1776">
        <w:t> </w:t>
      </w:r>
      <w:r w:rsidR="00D7459E">
        <w:t>03</w:t>
      </w:r>
      <w:r w:rsidRPr="006D7403">
        <w:t xml:space="preserve">  sur l’aide aux organismes communautaires pour les activités de perfectionnement de leurs membres soient exercées par l’instance régionale.</w:t>
      </w:r>
    </w:p>
    <w:p w:rsidR="006D7403" w:rsidRDefault="006D7403" w:rsidP="00D7459E">
      <w:pPr>
        <w:pStyle w:val="Paragraphedeliste"/>
        <w:numPr>
          <w:ilvl w:val="0"/>
          <w:numId w:val="1"/>
        </w:numPr>
        <w:spacing w:before="480" w:after="240"/>
        <w:ind w:left="426" w:hanging="426"/>
      </w:pPr>
      <w:r w:rsidRPr="006D7403">
        <w:t>Nou</w:t>
      </w:r>
      <w:r w:rsidR="00D7459E">
        <w:t>s recommandons que le ministre préconise</w:t>
      </w:r>
      <w:r w:rsidRPr="006D7403">
        <w:t xml:space="preserve"> la participation des regroupements régionaux d’organismes communautaires au processus de transition avant l’implantation éventuelle de la loi</w:t>
      </w:r>
      <w:r w:rsidR="005A1776">
        <w:t> </w:t>
      </w:r>
      <w:r w:rsidRPr="006D7403">
        <w:t>10, ceci incluant les comités qui pourraient travailler sur des enjeux touchant de près ou de loin les organismes communautaires.</w:t>
      </w:r>
    </w:p>
    <w:sectPr w:rsidR="006D7403" w:rsidSect="00DF048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50" w:rsidRDefault="005E3B50" w:rsidP="009B397A">
      <w:pPr>
        <w:spacing w:after="0" w:line="240" w:lineRule="auto"/>
      </w:pPr>
      <w:r>
        <w:separator/>
      </w:r>
    </w:p>
  </w:endnote>
  <w:endnote w:type="continuationSeparator" w:id="0">
    <w:p w:rsidR="005E3B50" w:rsidRDefault="005E3B50" w:rsidP="009B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76" w:rsidRDefault="005A17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44298"/>
      <w:docPartObj>
        <w:docPartGallery w:val="Page Numbers (Bottom of Page)"/>
        <w:docPartUnique/>
      </w:docPartObj>
    </w:sdtPr>
    <w:sdtEndPr/>
    <w:sdtContent>
      <w:p w:rsidR="00860C90" w:rsidRDefault="00860C90">
        <w:pPr>
          <w:pStyle w:val="Pieddepage"/>
          <w:jc w:val="right"/>
        </w:pPr>
        <w:r>
          <w:fldChar w:fldCharType="begin"/>
        </w:r>
        <w:r>
          <w:instrText>PAGE   \* MERGEFORMAT</w:instrText>
        </w:r>
        <w:r>
          <w:fldChar w:fldCharType="separate"/>
        </w:r>
        <w:r w:rsidR="000D3C91" w:rsidRPr="000D3C91">
          <w:rPr>
            <w:noProof/>
            <w:lang w:val="fr-FR"/>
          </w:rPr>
          <w:t>2</w:t>
        </w:r>
        <w:r>
          <w:fldChar w:fldCharType="end"/>
        </w:r>
      </w:p>
    </w:sdtContent>
  </w:sdt>
  <w:p w:rsidR="00860C90" w:rsidRDefault="00860C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76" w:rsidRDefault="005A17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50" w:rsidRDefault="005E3B50" w:rsidP="009B397A">
      <w:pPr>
        <w:spacing w:after="0" w:line="240" w:lineRule="auto"/>
      </w:pPr>
      <w:r>
        <w:separator/>
      </w:r>
    </w:p>
  </w:footnote>
  <w:footnote w:type="continuationSeparator" w:id="0">
    <w:p w:rsidR="005E3B50" w:rsidRDefault="005E3B50" w:rsidP="009B397A">
      <w:pPr>
        <w:spacing w:after="0" w:line="240" w:lineRule="auto"/>
      </w:pPr>
      <w:r>
        <w:continuationSeparator/>
      </w:r>
    </w:p>
  </w:footnote>
  <w:footnote w:id="1">
    <w:p w:rsidR="003372DF" w:rsidRDefault="003372DF">
      <w:pPr>
        <w:pStyle w:val="Notedebasdepage"/>
      </w:pPr>
      <w:r>
        <w:rPr>
          <w:rStyle w:val="Appelnotedebasdep"/>
        </w:rPr>
        <w:footnoteRef/>
      </w:r>
      <w:r>
        <w:t xml:space="preserve"> Ex. au chapitre</w:t>
      </w:r>
      <w:r w:rsidR="005A1776">
        <w:t> </w:t>
      </w:r>
      <w:r>
        <w:t>5, les articles</w:t>
      </w:r>
      <w:r w:rsidR="005A1776">
        <w:t> </w:t>
      </w:r>
      <w:r w:rsidRPr="00C37762">
        <w:t>130, 132, 161, 147 et 134</w:t>
      </w:r>
      <w:r>
        <w:t>.</w:t>
      </w:r>
    </w:p>
  </w:footnote>
  <w:footnote w:id="2">
    <w:p w:rsidR="003372DF" w:rsidRDefault="003372DF">
      <w:pPr>
        <w:pStyle w:val="Notedebasdepage"/>
      </w:pPr>
      <w:r>
        <w:rPr>
          <w:rStyle w:val="Appelnotedebasdep"/>
        </w:rPr>
        <w:footnoteRef/>
      </w:r>
      <w:r>
        <w:t xml:space="preserve"> </w:t>
      </w:r>
      <w:r w:rsidRPr="009B397A">
        <w:t xml:space="preserve">Ministère de la </w:t>
      </w:r>
      <w:r w:rsidR="005A1776">
        <w:t>S</w:t>
      </w:r>
      <w:r w:rsidRPr="009B397A">
        <w:t xml:space="preserve">anté et des </w:t>
      </w:r>
      <w:r w:rsidR="005A1776">
        <w:t>S</w:t>
      </w:r>
      <w:r w:rsidRPr="009B397A">
        <w:t xml:space="preserve">ervices sociaux, Programme de soutien aux organismes communautaires 2014-15, en ligne : </w:t>
      </w:r>
      <w:hyperlink r:id="rId1" w:history="1">
        <w:r w:rsidRPr="00E57346">
          <w:rPr>
            <w:rStyle w:val="Lienhypertexte"/>
          </w:rPr>
          <w:t>http://publications.msss.gouv.qc.ca/acrobat/f/documentation/2013/13-823-01W.pdf</w:t>
        </w:r>
      </w:hyperlink>
    </w:p>
    <w:p w:rsidR="003372DF" w:rsidRPr="009B397A" w:rsidRDefault="003372DF">
      <w:pPr>
        <w:pStyle w:val="Notedebasdepage"/>
      </w:pPr>
    </w:p>
  </w:footnote>
  <w:footnote w:id="3">
    <w:p w:rsidR="009C1228" w:rsidRPr="00CF33F6" w:rsidRDefault="009C1228" w:rsidP="009C1228">
      <w:pPr>
        <w:pStyle w:val="Notedebasdepage"/>
      </w:pPr>
      <w:r>
        <w:rPr>
          <w:rStyle w:val="Appelnotedebasdep"/>
        </w:rPr>
        <w:footnoteRef/>
      </w:r>
      <w:r>
        <w:t xml:space="preserve"> </w:t>
      </w:r>
      <w:r w:rsidRPr="00CF33F6">
        <w:t>Brochure PSOC, p.14</w:t>
      </w:r>
    </w:p>
  </w:footnote>
  <w:footnote w:id="4">
    <w:p w:rsidR="003372DF" w:rsidRPr="00CF33F6" w:rsidRDefault="003372DF">
      <w:pPr>
        <w:pStyle w:val="Notedebasdepage"/>
      </w:pPr>
      <w:r>
        <w:rPr>
          <w:rStyle w:val="Appelnotedebasdep"/>
        </w:rPr>
        <w:footnoteRef/>
      </w:r>
      <w:r>
        <w:t xml:space="preserve"> </w:t>
      </w:r>
      <w:r w:rsidR="0056144F">
        <w:t xml:space="preserve">Ministère de l’Emploi et de la </w:t>
      </w:r>
      <w:r w:rsidR="005A1776">
        <w:t>S</w:t>
      </w:r>
      <w:r w:rsidR="0056144F">
        <w:t xml:space="preserve">olidarité sociale. (2001). </w:t>
      </w:r>
      <w:r w:rsidR="0056144F" w:rsidRPr="00511A1A">
        <w:t>L’action communautaire, l’exercice de la citoyenneté</w:t>
      </w:r>
      <w:r w:rsidR="00F81B20" w:rsidRPr="00511A1A">
        <w:t xml:space="preserve"> et au développement social du Québec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76" w:rsidRDefault="005A17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76" w:rsidRDefault="005A17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76" w:rsidRDefault="005A17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836"/>
    <w:multiLevelType w:val="hybridMultilevel"/>
    <w:tmpl w:val="09C674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6F"/>
    <w:rsid w:val="000017A5"/>
    <w:rsid w:val="00001EFA"/>
    <w:rsid w:val="0000380F"/>
    <w:rsid w:val="00004FCA"/>
    <w:rsid w:val="0001040D"/>
    <w:rsid w:val="00011BAB"/>
    <w:rsid w:val="0001265E"/>
    <w:rsid w:val="000145D6"/>
    <w:rsid w:val="00014644"/>
    <w:rsid w:val="00016638"/>
    <w:rsid w:val="00017695"/>
    <w:rsid w:val="00020735"/>
    <w:rsid w:val="000216B1"/>
    <w:rsid w:val="00024210"/>
    <w:rsid w:val="000272A8"/>
    <w:rsid w:val="0003188B"/>
    <w:rsid w:val="0004140A"/>
    <w:rsid w:val="00044C09"/>
    <w:rsid w:val="00045198"/>
    <w:rsid w:val="0005539A"/>
    <w:rsid w:val="00060D7D"/>
    <w:rsid w:val="00071368"/>
    <w:rsid w:val="00072464"/>
    <w:rsid w:val="0007282B"/>
    <w:rsid w:val="00073E61"/>
    <w:rsid w:val="00074383"/>
    <w:rsid w:val="00083D01"/>
    <w:rsid w:val="00086788"/>
    <w:rsid w:val="000867D3"/>
    <w:rsid w:val="000912B2"/>
    <w:rsid w:val="00092557"/>
    <w:rsid w:val="00092E9F"/>
    <w:rsid w:val="0009652F"/>
    <w:rsid w:val="000968FB"/>
    <w:rsid w:val="00096AD8"/>
    <w:rsid w:val="000A0C05"/>
    <w:rsid w:val="000A11E7"/>
    <w:rsid w:val="000A1BFA"/>
    <w:rsid w:val="000A333F"/>
    <w:rsid w:val="000B0D6C"/>
    <w:rsid w:val="000B286F"/>
    <w:rsid w:val="000B3397"/>
    <w:rsid w:val="000B406A"/>
    <w:rsid w:val="000B5873"/>
    <w:rsid w:val="000B66C2"/>
    <w:rsid w:val="000B7E56"/>
    <w:rsid w:val="000C24DC"/>
    <w:rsid w:val="000D2A87"/>
    <w:rsid w:val="000D2D67"/>
    <w:rsid w:val="000D3C91"/>
    <w:rsid w:val="000D5720"/>
    <w:rsid w:val="000E267F"/>
    <w:rsid w:val="000E270C"/>
    <w:rsid w:val="000E3AE9"/>
    <w:rsid w:val="000E4717"/>
    <w:rsid w:val="000E73A1"/>
    <w:rsid w:val="000F05E3"/>
    <w:rsid w:val="000F0669"/>
    <w:rsid w:val="000F076F"/>
    <w:rsid w:val="000F0BB1"/>
    <w:rsid w:val="000F2E90"/>
    <w:rsid w:val="00103365"/>
    <w:rsid w:val="00105A85"/>
    <w:rsid w:val="001114AE"/>
    <w:rsid w:val="00115B5E"/>
    <w:rsid w:val="0012110B"/>
    <w:rsid w:val="00123BC8"/>
    <w:rsid w:val="00127871"/>
    <w:rsid w:val="0013154F"/>
    <w:rsid w:val="00137989"/>
    <w:rsid w:val="00140913"/>
    <w:rsid w:val="0014328A"/>
    <w:rsid w:val="00147CC2"/>
    <w:rsid w:val="001505C3"/>
    <w:rsid w:val="00151314"/>
    <w:rsid w:val="00154921"/>
    <w:rsid w:val="00157B43"/>
    <w:rsid w:val="00157BBA"/>
    <w:rsid w:val="0016142E"/>
    <w:rsid w:val="00167AF9"/>
    <w:rsid w:val="001739C6"/>
    <w:rsid w:val="00175F77"/>
    <w:rsid w:val="00176B77"/>
    <w:rsid w:val="00184CEC"/>
    <w:rsid w:val="00190C40"/>
    <w:rsid w:val="00191569"/>
    <w:rsid w:val="00194CDE"/>
    <w:rsid w:val="00195C8D"/>
    <w:rsid w:val="001A0A1A"/>
    <w:rsid w:val="001A1969"/>
    <w:rsid w:val="001A4AF6"/>
    <w:rsid w:val="001A62B4"/>
    <w:rsid w:val="001B273B"/>
    <w:rsid w:val="001B30E0"/>
    <w:rsid w:val="001C35BB"/>
    <w:rsid w:val="001C4B2C"/>
    <w:rsid w:val="001C5B53"/>
    <w:rsid w:val="001D0911"/>
    <w:rsid w:val="001D0ABC"/>
    <w:rsid w:val="001D1303"/>
    <w:rsid w:val="001D4392"/>
    <w:rsid w:val="001D5C71"/>
    <w:rsid w:val="001D5DCE"/>
    <w:rsid w:val="001E1A5A"/>
    <w:rsid w:val="001E20D5"/>
    <w:rsid w:val="001E7145"/>
    <w:rsid w:val="001F53ED"/>
    <w:rsid w:val="001F78B9"/>
    <w:rsid w:val="00200C84"/>
    <w:rsid w:val="00202641"/>
    <w:rsid w:val="002044F6"/>
    <w:rsid w:val="00214457"/>
    <w:rsid w:val="002149C8"/>
    <w:rsid w:val="0021505C"/>
    <w:rsid w:val="00217CDE"/>
    <w:rsid w:val="00221C01"/>
    <w:rsid w:val="002242B5"/>
    <w:rsid w:val="00225BE7"/>
    <w:rsid w:val="00226210"/>
    <w:rsid w:val="002272DF"/>
    <w:rsid w:val="00241D0F"/>
    <w:rsid w:val="00242B24"/>
    <w:rsid w:val="00244597"/>
    <w:rsid w:val="00253320"/>
    <w:rsid w:val="002556E5"/>
    <w:rsid w:val="00256765"/>
    <w:rsid w:val="00260853"/>
    <w:rsid w:val="002615A8"/>
    <w:rsid w:val="00262ED1"/>
    <w:rsid w:val="00272E10"/>
    <w:rsid w:val="00281AAD"/>
    <w:rsid w:val="00287A00"/>
    <w:rsid w:val="00290EBC"/>
    <w:rsid w:val="002A6023"/>
    <w:rsid w:val="002A6418"/>
    <w:rsid w:val="002A6738"/>
    <w:rsid w:val="002A676F"/>
    <w:rsid w:val="002B3675"/>
    <w:rsid w:val="002C5AFD"/>
    <w:rsid w:val="002C781A"/>
    <w:rsid w:val="002D0526"/>
    <w:rsid w:val="002D38F0"/>
    <w:rsid w:val="002D51FF"/>
    <w:rsid w:val="002D74E4"/>
    <w:rsid w:val="002E2462"/>
    <w:rsid w:val="002E27CA"/>
    <w:rsid w:val="002F0994"/>
    <w:rsid w:val="002F2407"/>
    <w:rsid w:val="002F5772"/>
    <w:rsid w:val="002F7270"/>
    <w:rsid w:val="003008E5"/>
    <w:rsid w:val="00302058"/>
    <w:rsid w:val="00307F4A"/>
    <w:rsid w:val="00310789"/>
    <w:rsid w:val="00315401"/>
    <w:rsid w:val="00317F63"/>
    <w:rsid w:val="003206B7"/>
    <w:rsid w:val="00320896"/>
    <w:rsid w:val="00324B72"/>
    <w:rsid w:val="00325E39"/>
    <w:rsid w:val="00332D9E"/>
    <w:rsid w:val="00333896"/>
    <w:rsid w:val="003372DF"/>
    <w:rsid w:val="00342575"/>
    <w:rsid w:val="00345C69"/>
    <w:rsid w:val="00345D1A"/>
    <w:rsid w:val="00346516"/>
    <w:rsid w:val="00354046"/>
    <w:rsid w:val="0036127F"/>
    <w:rsid w:val="00365A53"/>
    <w:rsid w:val="00366453"/>
    <w:rsid w:val="00371B50"/>
    <w:rsid w:val="0037486F"/>
    <w:rsid w:val="00376001"/>
    <w:rsid w:val="0038621D"/>
    <w:rsid w:val="00386759"/>
    <w:rsid w:val="00387B5B"/>
    <w:rsid w:val="0039099D"/>
    <w:rsid w:val="00391393"/>
    <w:rsid w:val="003931ED"/>
    <w:rsid w:val="00395A6B"/>
    <w:rsid w:val="00396095"/>
    <w:rsid w:val="003A1501"/>
    <w:rsid w:val="003A2329"/>
    <w:rsid w:val="003A6C8D"/>
    <w:rsid w:val="003A6F0B"/>
    <w:rsid w:val="003B19C0"/>
    <w:rsid w:val="003B364A"/>
    <w:rsid w:val="003C2980"/>
    <w:rsid w:val="003C342A"/>
    <w:rsid w:val="003C532A"/>
    <w:rsid w:val="003C6506"/>
    <w:rsid w:val="003D1313"/>
    <w:rsid w:val="003D2367"/>
    <w:rsid w:val="003D44B8"/>
    <w:rsid w:val="003D6088"/>
    <w:rsid w:val="003D7A72"/>
    <w:rsid w:val="003E26D5"/>
    <w:rsid w:val="003E4A6F"/>
    <w:rsid w:val="003E5439"/>
    <w:rsid w:val="003E73E4"/>
    <w:rsid w:val="003F0125"/>
    <w:rsid w:val="003F1D8F"/>
    <w:rsid w:val="003F60D7"/>
    <w:rsid w:val="003F6950"/>
    <w:rsid w:val="00420D77"/>
    <w:rsid w:val="00423107"/>
    <w:rsid w:val="0042492E"/>
    <w:rsid w:val="00426635"/>
    <w:rsid w:val="004317EC"/>
    <w:rsid w:val="00431C56"/>
    <w:rsid w:val="00434484"/>
    <w:rsid w:val="00434CB9"/>
    <w:rsid w:val="00440EDF"/>
    <w:rsid w:val="004519E7"/>
    <w:rsid w:val="00456922"/>
    <w:rsid w:val="00462AA8"/>
    <w:rsid w:val="004660D2"/>
    <w:rsid w:val="00470D36"/>
    <w:rsid w:val="0047280E"/>
    <w:rsid w:val="004749D1"/>
    <w:rsid w:val="00476EE4"/>
    <w:rsid w:val="00477EC8"/>
    <w:rsid w:val="00480451"/>
    <w:rsid w:val="00480E88"/>
    <w:rsid w:val="004861FA"/>
    <w:rsid w:val="00486835"/>
    <w:rsid w:val="00486B63"/>
    <w:rsid w:val="00495128"/>
    <w:rsid w:val="00495D54"/>
    <w:rsid w:val="004A14E0"/>
    <w:rsid w:val="004A21F9"/>
    <w:rsid w:val="004B015D"/>
    <w:rsid w:val="004B0D27"/>
    <w:rsid w:val="004B0FA7"/>
    <w:rsid w:val="004B148B"/>
    <w:rsid w:val="004B3AE4"/>
    <w:rsid w:val="004B4476"/>
    <w:rsid w:val="004B6D7D"/>
    <w:rsid w:val="004C1496"/>
    <w:rsid w:val="004C3039"/>
    <w:rsid w:val="004C381A"/>
    <w:rsid w:val="004C3E83"/>
    <w:rsid w:val="004D2A7F"/>
    <w:rsid w:val="004D3F21"/>
    <w:rsid w:val="004D4160"/>
    <w:rsid w:val="004E1767"/>
    <w:rsid w:val="004E4B2C"/>
    <w:rsid w:val="004E4F9F"/>
    <w:rsid w:val="004E53BF"/>
    <w:rsid w:val="004E5A08"/>
    <w:rsid w:val="004E6B15"/>
    <w:rsid w:val="004E7680"/>
    <w:rsid w:val="004F1FCE"/>
    <w:rsid w:val="004F59AE"/>
    <w:rsid w:val="00501A96"/>
    <w:rsid w:val="005107F6"/>
    <w:rsid w:val="00510E07"/>
    <w:rsid w:val="00511A1A"/>
    <w:rsid w:val="0051353A"/>
    <w:rsid w:val="0052108B"/>
    <w:rsid w:val="005249B2"/>
    <w:rsid w:val="005275E3"/>
    <w:rsid w:val="0053787C"/>
    <w:rsid w:val="005411D3"/>
    <w:rsid w:val="00545F02"/>
    <w:rsid w:val="00547FA7"/>
    <w:rsid w:val="00554393"/>
    <w:rsid w:val="0056144F"/>
    <w:rsid w:val="00565F26"/>
    <w:rsid w:val="00566560"/>
    <w:rsid w:val="0056671D"/>
    <w:rsid w:val="00570A87"/>
    <w:rsid w:val="00572430"/>
    <w:rsid w:val="005749EF"/>
    <w:rsid w:val="00575255"/>
    <w:rsid w:val="00575DFE"/>
    <w:rsid w:val="00580935"/>
    <w:rsid w:val="00580BDF"/>
    <w:rsid w:val="00585BB3"/>
    <w:rsid w:val="00586FB4"/>
    <w:rsid w:val="00593AE3"/>
    <w:rsid w:val="005A1776"/>
    <w:rsid w:val="005B2B49"/>
    <w:rsid w:val="005C0453"/>
    <w:rsid w:val="005C0919"/>
    <w:rsid w:val="005D0283"/>
    <w:rsid w:val="005D75D9"/>
    <w:rsid w:val="005E1110"/>
    <w:rsid w:val="005E3380"/>
    <w:rsid w:val="005E35F5"/>
    <w:rsid w:val="005E3B50"/>
    <w:rsid w:val="005F57C6"/>
    <w:rsid w:val="005F7287"/>
    <w:rsid w:val="00611CB2"/>
    <w:rsid w:val="00613B65"/>
    <w:rsid w:val="00614B89"/>
    <w:rsid w:val="006158C3"/>
    <w:rsid w:val="00621233"/>
    <w:rsid w:val="00623237"/>
    <w:rsid w:val="006240B6"/>
    <w:rsid w:val="00625240"/>
    <w:rsid w:val="006260B2"/>
    <w:rsid w:val="00641943"/>
    <w:rsid w:val="00641BCF"/>
    <w:rsid w:val="00651061"/>
    <w:rsid w:val="0065593C"/>
    <w:rsid w:val="0065607A"/>
    <w:rsid w:val="006565E6"/>
    <w:rsid w:val="0066129E"/>
    <w:rsid w:val="00662868"/>
    <w:rsid w:val="00663374"/>
    <w:rsid w:val="00663A46"/>
    <w:rsid w:val="0066526A"/>
    <w:rsid w:val="00670D6B"/>
    <w:rsid w:val="00671D8D"/>
    <w:rsid w:val="00671E63"/>
    <w:rsid w:val="00675B44"/>
    <w:rsid w:val="00676389"/>
    <w:rsid w:val="006810D4"/>
    <w:rsid w:val="00681D11"/>
    <w:rsid w:val="00684153"/>
    <w:rsid w:val="0068564F"/>
    <w:rsid w:val="00685E3F"/>
    <w:rsid w:val="00687F46"/>
    <w:rsid w:val="00692554"/>
    <w:rsid w:val="006954A1"/>
    <w:rsid w:val="00695FAA"/>
    <w:rsid w:val="006A05F4"/>
    <w:rsid w:val="006A272B"/>
    <w:rsid w:val="006A2DC7"/>
    <w:rsid w:val="006A4675"/>
    <w:rsid w:val="006A74CD"/>
    <w:rsid w:val="006B13AF"/>
    <w:rsid w:val="006B4B04"/>
    <w:rsid w:val="006C1AAE"/>
    <w:rsid w:val="006C1FDB"/>
    <w:rsid w:val="006C4C75"/>
    <w:rsid w:val="006D3A22"/>
    <w:rsid w:val="006D423E"/>
    <w:rsid w:val="006D4D1A"/>
    <w:rsid w:val="006D7403"/>
    <w:rsid w:val="006E1E61"/>
    <w:rsid w:val="006F1608"/>
    <w:rsid w:val="006F31C4"/>
    <w:rsid w:val="006F7A4C"/>
    <w:rsid w:val="006F7D00"/>
    <w:rsid w:val="0070133F"/>
    <w:rsid w:val="007018F7"/>
    <w:rsid w:val="007044A0"/>
    <w:rsid w:val="00705425"/>
    <w:rsid w:val="0070735A"/>
    <w:rsid w:val="007140D8"/>
    <w:rsid w:val="00717610"/>
    <w:rsid w:val="00725677"/>
    <w:rsid w:val="00727879"/>
    <w:rsid w:val="007329F1"/>
    <w:rsid w:val="007331CE"/>
    <w:rsid w:val="00736A36"/>
    <w:rsid w:val="00737291"/>
    <w:rsid w:val="007405A5"/>
    <w:rsid w:val="0074432F"/>
    <w:rsid w:val="00745F84"/>
    <w:rsid w:val="00751560"/>
    <w:rsid w:val="0075266C"/>
    <w:rsid w:val="007566A9"/>
    <w:rsid w:val="00766796"/>
    <w:rsid w:val="00770265"/>
    <w:rsid w:val="007707D1"/>
    <w:rsid w:val="007751D2"/>
    <w:rsid w:val="007775DF"/>
    <w:rsid w:val="0078013F"/>
    <w:rsid w:val="00781067"/>
    <w:rsid w:val="00781C0B"/>
    <w:rsid w:val="00785EDA"/>
    <w:rsid w:val="007929F5"/>
    <w:rsid w:val="007A0A78"/>
    <w:rsid w:val="007A196E"/>
    <w:rsid w:val="007B7F8D"/>
    <w:rsid w:val="007C113F"/>
    <w:rsid w:val="007C1B54"/>
    <w:rsid w:val="007C2DAF"/>
    <w:rsid w:val="007C32C0"/>
    <w:rsid w:val="007D1931"/>
    <w:rsid w:val="007D2D94"/>
    <w:rsid w:val="007D2EBF"/>
    <w:rsid w:val="007D591C"/>
    <w:rsid w:val="007D73A8"/>
    <w:rsid w:val="007D769B"/>
    <w:rsid w:val="007D7FD8"/>
    <w:rsid w:val="007E5242"/>
    <w:rsid w:val="007F19F6"/>
    <w:rsid w:val="007F340B"/>
    <w:rsid w:val="007F4A3B"/>
    <w:rsid w:val="007F76E7"/>
    <w:rsid w:val="00801BE3"/>
    <w:rsid w:val="008027CC"/>
    <w:rsid w:val="0080583E"/>
    <w:rsid w:val="00810C9D"/>
    <w:rsid w:val="00815FB6"/>
    <w:rsid w:val="00821570"/>
    <w:rsid w:val="008224BF"/>
    <w:rsid w:val="00825692"/>
    <w:rsid w:val="008270D1"/>
    <w:rsid w:val="00830A5D"/>
    <w:rsid w:val="00833935"/>
    <w:rsid w:val="00835EFC"/>
    <w:rsid w:val="00836363"/>
    <w:rsid w:val="008431CD"/>
    <w:rsid w:val="00845DD1"/>
    <w:rsid w:val="00850DFE"/>
    <w:rsid w:val="00857CBB"/>
    <w:rsid w:val="00860C90"/>
    <w:rsid w:val="00860CD0"/>
    <w:rsid w:val="00862230"/>
    <w:rsid w:val="00864957"/>
    <w:rsid w:val="00866A45"/>
    <w:rsid w:val="0087156E"/>
    <w:rsid w:val="0087429F"/>
    <w:rsid w:val="008839AE"/>
    <w:rsid w:val="008863C7"/>
    <w:rsid w:val="00891788"/>
    <w:rsid w:val="00895E4F"/>
    <w:rsid w:val="008A0EF6"/>
    <w:rsid w:val="008A1188"/>
    <w:rsid w:val="008A2825"/>
    <w:rsid w:val="008A2C5C"/>
    <w:rsid w:val="008A3869"/>
    <w:rsid w:val="008A3AEC"/>
    <w:rsid w:val="008A3F73"/>
    <w:rsid w:val="008A6626"/>
    <w:rsid w:val="008A73C4"/>
    <w:rsid w:val="008B05BD"/>
    <w:rsid w:val="008B2A68"/>
    <w:rsid w:val="008B3B4D"/>
    <w:rsid w:val="008B5095"/>
    <w:rsid w:val="008C0F73"/>
    <w:rsid w:val="008C23A3"/>
    <w:rsid w:val="008D017A"/>
    <w:rsid w:val="008D264D"/>
    <w:rsid w:val="008D3736"/>
    <w:rsid w:val="008D7E2D"/>
    <w:rsid w:val="008E13DE"/>
    <w:rsid w:val="008E222B"/>
    <w:rsid w:val="008E3735"/>
    <w:rsid w:val="008E7057"/>
    <w:rsid w:val="008E7C2D"/>
    <w:rsid w:val="008F05C6"/>
    <w:rsid w:val="008F1A5E"/>
    <w:rsid w:val="008F598C"/>
    <w:rsid w:val="008F7633"/>
    <w:rsid w:val="009016A2"/>
    <w:rsid w:val="00905CD8"/>
    <w:rsid w:val="00910CFB"/>
    <w:rsid w:val="0092019F"/>
    <w:rsid w:val="0092154C"/>
    <w:rsid w:val="00923BEB"/>
    <w:rsid w:val="00924415"/>
    <w:rsid w:val="009261E7"/>
    <w:rsid w:val="00930640"/>
    <w:rsid w:val="00931C97"/>
    <w:rsid w:val="009370C7"/>
    <w:rsid w:val="00941D9A"/>
    <w:rsid w:val="00942AAF"/>
    <w:rsid w:val="009449F7"/>
    <w:rsid w:val="00947257"/>
    <w:rsid w:val="00952932"/>
    <w:rsid w:val="009548FA"/>
    <w:rsid w:val="00963808"/>
    <w:rsid w:val="0096455D"/>
    <w:rsid w:val="00966080"/>
    <w:rsid w:val="00966467"/>
    <w:rsid w:val="009670D6"/>
    <w:rsid w:val="00967FBC"/>
    <w:rsid w:val="00971ED6"/>
    <w:rsid w:val="00974AAE"/>
    <w:rsid w:val="00981986"/>
    <w:rsid w:val="00982C68"/>
    <w:rsid w:val="00985261"/>
    <w:rsid w:val="00985B29"/>
    <w:rsid w:val="00986C4C"/>
    <w:rsid w:val="00986E76"/>
    <w:rsid w:val="00992B2A"/>
    <w:rsid w:val="00994BB7"/>
    <w:rsid w:val="00996DF6"/>
    <w:rsid w:val="009A0D54"/>
    <w:rsid w:val="009A19CC"/>
    <w:rsid w:val="009A3FAA"/>
    <w:rsid w:val="009A5BC9"/>
    <w:rsid w:val="009A70F1"/>
    <w:rsid w:val="009B397A"/>
    <w:rsid w:val="009C1228"/>
    <w:rsid w:val="009C254F"/>
    <w:rsid w:val="009C44DD"/>
    <w:rsid w:val="009C5FA6"/>
    <w:rsid w:val="009C63FE"/>
    <w:rsid w:val="009C6607"/>
    <w:rsid w:val="009C755C"/>
    <w:rsid w:val="009D4AAF"/>
    <w:rsid w:val="009D6B40"/>
    <w:rsid w:val="009E46BB"/>
    <w:rsid w:val="009F0CFD"/>
    <w:rsid w:val="009F17DC"/>
    <w:rsid w:val="009F21E7"/>
    <w:rsid w:val="009F5642"/>
    <w:rsid w:val="009F7B9C"/>
    <w:rsid w:val="009F7F21"/>
    <w:rsid w:val="00A01602"/>
    <w:rsid w:val="00A01DA4"/>
    <w:rsid w:val="00A03133"/>
    <w:rsid w:val="00A06142"/>
    <w:rsid w:val="00A0651E"/>
    <w:rsid w:val="00A073BD"/>
    <w:rsid w:val="00A12882"/>
    <w:rsid w:val="00A22334"/>
    <w:rsid w:val="00A30737"/>
    <w:rsid w:val="00A315BA"/>
    <w:rsid w:val="00A32B6C"/>
    <w:rsid w:val="00A35593"/>
    <w:rsid w:val="00A35AEF"/>
    <w:rsid w:val="00A3639B"/>
    <w:rsid w:val="00A375E2"/>
    <w:rsid w:val="00A408CF"/>
    <w:rsid w:val="00A41E6B"/>
    <w:rsid w:val="00A44CDD"/>
    <w:rsid w:val="00A45836"/>
    <w:rsid w:val="00A538A9"/>
    <w:rsid w:val="00A557A7"/>
    <w:rsid w:val="00A55F1C"/>
    <w:rsid w:val="00A61460"/>
    <w:rsid w:val="00A63F48"/>
    <w:rsid w:val="00A64986"/>
    <w:rsid w:val="00A64B04"/>
    <w:rsid w:val="00A747BB"/>
    <w:rsid w:val="00A8240B"/>
    <w:rsid w:val="00A9023A"/>
    <w:rsid w:val="00A907CA"/>
    <w:rsid w:val="00A96C31"/>
    <w:rsid w:val="00A976E4"/>
    <w:rsid w:val="00AA5187"/>
    <w:rsid w:val="00AB0030"/>
    <w:rsid w:val="00AB1883"/>
    <w:rsid w:val="00AB439A"/>
    <w:rsid w:val="00AB5144"/>
    <w:rsid w:val="00AC16D0"/>
    <w:rsid w:val="00AD1681"/>
    <w:rsid w:val="00AD1ED9"/>
    <w:rsid w:val="00AD25A5"/>
    <w:rsid w:val="00AD2835"/>
    <w:rsid w:val="00AD3F85"/>
    <w:rsid w:val="00AD6C26"/>
    <w:rsid w:val="00AD74ED"/>
    <w:rsid w:val="00AE3C13"/>
    <w:rsid w:val="00AE7E5D"/>
    <w:rsid w:val="00AF176B"/>
    <w:rsid w:val="00AF51A4"/>
    <w:rsid w:val="00AF7E29"/>
    <w:rsid w:val="00B07A8A"/>
    <w:rsid w:val="00B12437"/>
    <w:rsid w:val="00B14673"/>
    <w:rsid w:val="00B15A9F"/>
    <w:rsid w:val="00B21F2C"/>
    <w:rsid w:val="00B235B8"/>
    <w:rsid w:val="00B2627F"/>
    <w:rsid w:val="00B26AAD"/>
    <w:rsid w:val="00B34D7C"/>
    <w:rsid w:val="00B36778"/>
    <w:rsid w:val="00B40A2B"/>
    <w:rsid w:val="00B431F2"/>
    <w:rsid w:val="00B43476"/>
    <w:rsid w:val="00B445BE"/>
    <w:rsid w:val="00B44A4F"/>
    <w:rsid w:val="00B51CA3"/>
    <w:rsid w:val="00B53B21"/>
    <w:rsid w:val="00B56F97"/>
    <w:rsid w:val="00B60842"/>
    <w:rsid w:val="00B64C76"/>
    <w:rsid w:val="00B72FBF"/>
    <w:rsid w:val="00B74DD8"/>
    <w:rsid w:val="00B76FA5"/>
    <w:rsid w:val="00B77897"/>
    <w:rsid w:val="00B82196"/>
    <w:rsid w:val="00B82F81"/>
    <w:rsid w:val="00B846C9"/>
    <w:rsid w:val="00B876D9"/>
    <w:rsid w:val="00B93A63"/>
    <w:rsid w:val="00B9469C"/>
    <w:rsid w:val="00B96C13"/>
    <w:rsid w:val="00B97B00"/>
    <w:rsid w:val="00BA0129"/>
    <w:rsid w:val="00BA0EA5"/>
    <w:rsid w:val="00BA363D"/>
    <w:rsid w:val="00BA41A1"/>
    <w:rsid w:val="00BA7220"/>
    <w:rsid w:val="00BB3621"/>
    <w:rsid w:val="00BB392B"/>
    <w:rsid w:val="00BB3A0E"/>
    <w:rsid w:val="00BB6570"/>
    <w:rsid w:val="00BC016B"/>
    <w:rsid w:val="00BC1902"/>
    <w:rsid w:val="00BC38A6"/>
    <w:rsid w:val="00BC5D47"/>
    <w:rsid w:val="00BC5E7C"/>
    <w:rsid w:val="00BD135B"/>
    <w:rsid w:val="00BE180E"/>
    <w:rsid w:val="00BE50C4"/>
    <w:rsid w:val="00BF13C7"/>
    <w:rsid w:val="00BF2776"/>
    <w:rsid w:val="00BF3B9B"/>
    <w:rsid w:val="00BF597D"/>
    <w:rsid w:val="00BF74C9"/>
    <w:rsid w:val="00C001A4"/>
    <w:rsid w:val="00C044A7"/>
    <w:rsid w:val="00C04A55"/>
    <w:rsid w:val="00C0529B"/>
    <w:rsid w:val="00C059CD"/>
    <w:rsid w:val="00C11418"/>
    <w:rsid w:val="00C12F52"/>
    <w:rsid w:val="00C1694D"/>
    <w:rsid w:val="00C17DA3"/>
    <w:rsid w:val="00C24868"/>
    <w:rsid w:val="00C25C6D"/>
    <w:rsid w:val="00C27437"/>
    <w:rsid w:val="00C338F7"/>
    <w:rsid w:val="00C344A8"/>
    <w:rsid w:val="00C36072"/>
    <w:rsid w:val="00C37762"/>
    <w:rsid w:val="00C412EF"/>
    <w:rsid w:val="00C4458E"/>
    <w:rsid w:val="00C4664F"/>
    <w:rsid w:val="00C46AEA"/>
    <w:rsid w:val="00C5123C"/>
    <w:rsid w:val="00C60AF1"/>
    <w:rsid w:val="00C61ADD"/>
    <w:rsid w:val="00C70647"/>
    <w:rsid w:val="00C836D4"/>
    <w:rsid w:val="00C844CD"/>
    <w:rsid w:val="00C87345"/>
    <w:rsid w:val="00C90022"/>
    <w:rsid w:val="00C93275"/>
    <w:rsid w:val="00C9510F"/>
    <w:rsid w:val="00CA2ADD"/>
    <w:rsid w:val="00CB069D"/>
    <w:rsid w:val="00CB1317"/>
    <w:rsid w:val="00CB21BB"/>
    <w:rsid w:val="00CB554D"/>
    <w:rsid w:val="00CC0730"/>
    <w:rsid w:val="00CC08AC"/>
    <w:rsid w:val="00CC15F8"/>
    <w:rsid w:val="00CC24AC"/>
    <w:rsid w:val="00CC3108"/>
    <w:rsid w:val="00CD09B6"/>
    <w:rsid w:val="00CD6F2D"/>
    <w:rsid w:val="00CE3686"/>
    <w:rsid w:val="00CE7A5F"/>
    <w:rsid w:val="00CE7B68"/>
    <w:rsid w:val="00CF087C"/>
    <w:rsid w:val="00CF33F6"/>
    <w:rsid w:val="00CF70B3"/>
    <w:rsid w:val="00D00E06"/>
    <w:rsid w:val="00D01927"/>
    <w:rsid w:val="00D01EAD"/>
    <w:rsid w:val="00D02822"/>
    <w:rsid w:val="00D12CFB"/>
    <w:rsid w:val="00D12D29"/>
    <w:rsid w:val="00D130F5"/>
    <w:rsid w:val="00D146B2"/>
    <w:rsid w:val="00D16175"/>
    <w:rsid w:val="00D2267C"/>
    <w:rsid w:val="00D2572A"/>
    <w:rsid w:val="00D27E92"/>
    <w:rsid w:val="00D3093B"/>
    <w:rsid w:val="00D315C0"/>
    <w:rsid w:val="00D451B7"/>
    <w:rsid w:val="00D514EF"/>
    <w:rsid w:val="00D54444"/>
    <w:rsid w:val="00D62E82"/>
    <w:rsid w:val="00D632ED"/>
    <w:rsid w:val="00D70CC2"/>
    <w:rsid w:val="00D7218B"/>
    <w:rsid w:val="00D7459E"/>
    <w:rsid w:val="00D75808"/>
    <w:rsid w:val="00D8046D"/>
    <w:rsid w:val="00D81405"/>
    <w:rsid w:val="00D83C84"/>
    <w:rsid w:val="00D84D71"/>
    <w:rsid w:val="00D922D4"/>
    <w:rsid w:val="00D945E4"/>
    <w:rsid w:val="00D9601C"/>
    <w:rsid w:val="00DA38ED"/>
    <w:rsid w:val="00DA5998"/>
    <w:rsid w:val="00DA7142"/>
    <w:rsid w:val="00DA7B77"/>
    <w:rsid w:val="00DB46D1"/>
    <w:rsid w:val="00DB79E3"/>
    <w:rsid w:val="00DC0D71"/>
    <w:rsid w:val="00DC4A21"/>
    <w:rsid w:val="00DC694D"/>
    <w:rsid w:val="00DD0091"/>
    <w:rsid w:val="00DD2CFE"/>
    <w:rsid w:val="00DD514E"/>
    <w:rsid w:val="00DD5E60"/>
    <w:rsid w:val="00DE0A55"/>
    <w:rsid w:val="00DE31C1"/>
    <w:rsid w:val="00DE49A0"/>
    <w:rsid w:val="00DE5164"/>
    <w:rsid w:val="00DF048C"/>
    <w:rsid w:val="00DF65D2"/>
    <w:rsid w:val="00E00A3E"/>
    <w:rsid w:val="00E022F1"/>
    <w:rsid w:val="00E04098"/>
    <w:rsid w:val="00E15B3A"/>
    <w:rsid w:val="00E17E16"/>
    <w:rsid w:val="00E24F1B"/>
    <w:rsid w:val="00E2539A"/>
    <w:rsid w:val="00E26131"/>
    <w:rsid w:val="00E27855"/>
    <w:rsid w:val="00E3099A"/>
    <w:rsid w:val="00E30B20"/>
    <w:rsid w:val="00E366A9"/>
    <w:rsid w:val="00E46062"/>
    <w:rsid w:val="00E54E2B"/>
    <w:rsid w:val="00E562EC"/>
    <w:rsid w:val="00E618A1"/>
    <w:rsid w:val="00E620E0"/>
    <w:rsid w:val="00E66AF5"/>
    <w:rsid w:val="00E67F2C"/>
    <w:rsid w:val="00E7026E"/>
    <w:rsid w:val="00E70886"/>
    <w:rsid w:val="00E94A89"/>
    <w:rsid w:val="00EA06B7"/>
    <w:rsid w:val="00EA082B"/>
    <w:rsid w:val="00EA4A9C"/>
    <w:rsid w:val="00EA4C49"/>
    <w:rsid w:val="00EA7134"/>
    <w:rsid w:val="00EB5763"/>
    <w:rsid w:val="00EB61CB"/>
    <w:rsid w:val="00EB6ACB"/>
    <w:rsid w:val="00EC2636"/>
    <w:rsid w:val="00ED03E4"/>
    <w:rsid w:val="00ED1222"/>
    <w:rsid w:val="00EE02AD"/>
    <w:rsid w:val="00EE26E0"/>
    <w:rsid w:val="00EE280B"/>
    <w:rsid w:val="00EE559B"/>
    <w:rsid w:val="00EF381C"/>
    <w:rsid w:val="00EF79CB"/>
    <w:rsid w:val="00EF7F6D"/>
    <w:rsid w:val="00F0219F"/>
    <w:rsid w:val="00F063EF"/>
    <w:rsid w:val="00F16AE1"/>
    <w:rsid w:val="00F25367"/>
    <w:rsid w:val="00F27763"/>
    <w:rsid w:val="00F350A0"/>
    <w:rsid w:val="00F36C1B"/>
    <w:rsid w:val="00F40399"/>
    <w:rsid w:val="00F405EC"/>
    <w:rsid w:val="00F44F3A"/>
    <w:rsid w:val="00F459C0"/>
    <w:rsid w:val="00F479B8"/>
    <w:rsid w:val="00F51CFC"/>
    <w:rsid w:val="00F5258F"/>
    <w:rsid w:val="00F653BF"/>
    <w:rsid w:val="00F75EC3"/>
    <w:rsid w:val="00F81B20"/>
    <w:rsid w:val="00F85C1A"/>
    <w:rsid w:val="00F860E3"/>
    <w:rsid w:val="00F95150"/>
    <w:rsid w:val="00F95FF6"/>
    <w:rsid w:val="00F97A31"/>
    <w:rsid w:val="00FA23F1"/>
    <w:rsid w:val="00FA264D"/>
    <w:rsid w:val="00FA2EA1"/>
    <w:rsid w:val="00FA46CF"/>
    <w:rsid w:val="00FB01EF"/>
    <w:rsid w:val="00FB1D63"/>
    <w:rsid w:val="00FB3CEC"/>
    <w:rsid w:val="00FB43F2"/>
    <w:rsid w:val="00FB53B6"/>
    <w:rsid w:val="00FB6E2C"/>
    <w:rsid w:val="00FB7D07"/>
    <w:rsid w:val="00FC2F69"/>
    <w:rsid w:val="00FD056F"/>
    <w:rsid w:val="00FD5CEA"/>
    <w:rsid w:val="00FE229A"/>
    <w:rsid w:val="00FE4853"/>
    <w:rsid w:val="00FE5245"/>
    <w:rsid w:val="00FE6DA7"/>
    <w:rsid w:val="00FE7312"/>
    <w:rsid w:val="00FF48CA"/>
    <w:rsid w:val="00FF4F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D7"/>
  </w:style>
  <w:style w:type="paragraph" w:styleId="Titre1">
    <w:name w:val="heading 1"/>
    <w:basedOn w:val="Normal"/>
    <w:next w:val="Normal"/>
    <w:link w:val="Titre1Car"/>
    <w:uiPriority w:val="9"/>
    <w:qFormat/>
    <w:rsid w:val="009C5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6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61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B39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397A"/>
    <w:rPr>
      <w:sz w:val="20"/>
      <w:szCs w:val="20"/>
    </w:rPr>
  </w:style>
  <w:style w:type="character" w:styleId="Appelnotedebasdep">
    <w:name w:val="footnote reference"/>
    <w:basedOn w:val="Policepardfaut"/>
    <w:uiPriority w:val="99"/>
    <w:semiHidden/>
    <w:unhideWhenUsed/>
    <w:rsid w:val="009B397A"/>
    <w:rPr>
      <w:vertAlign w:val="superscript"/>
    </w:rPr>
  </w:style>
  <w:style w:type="character" w:styleId="Lienhypertexte">
    <w:name w:val="Hyperlink"/>
    <w:basedOn w:val="Policepardfaut"/>
    <w:uiPriority w:val="99"/>
    <w:unhideWhenUsed/>
    <w:rsid w:val="009B397A"/>
    <w:rPr>
      <w:color w:val="0000FF" w:themeColor="hyperlink"/>
      <w:u w:val="single"/>
    </w:rPr>
  </w:style>
  <w:style w:type="character" w:customStyle="1" w:styleId="Titre2Car">
    <w:name w:val="Titre 2 Car"/>
    <w:basedOn w:val="Policepardfaut"/>
    <w:link w:val="Titre2"/>
    <w:uiPriority w:val="9"/>
    <w:rsid w:val="009261E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261E7"/>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9C5FA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C5FA6"/>
    <w:pPr>
      <w:outlineLvl w:val="9"/>
    </w:pPr>
    <w:rPr>
      <w:lang w:eastAsia="fr-CA"/>
    </w:rPr>
  </w:style>
  <w:style w:type="paragraph" w:styleId="TM2">
    <w:name w:val="toc 2"/>
    <w:basedOn w:val="Normal"/>
    <w:next w:val="Normal"/>
    <w:autoRedefine/>
    <w:uiPriority w:val="39"/>
    <w:unhideWhenUsed/>
    <w:rsid w:val="009C5FA6"/>
    <w:pPr>
      <w:spacing w:after="100"/>
      <w:ind w:left="220"/>
    </w:pPr>
  </w:style>
  <w:style w:type="paragraph" w:styleId="TM3">
    <w:name w:val="toc 3"/>
    <w:basedOn w:val="Normal"/>
    <w:next w:val="Normal"/>
    <w:autoRedefine/>
    <w:uiPriority w:val="39"/>
    <w:unhideWhenUsed/>
    <w:rsid w:val="009C5FA6"/>
    <w:pPr>
      <w:spacing w:after="100"/>
      <w:ind w:left="440"/>
    </w:pPr>
  </w:style>
  <w:style w:type="paragraph" w:styleId="Textedebulles">
    <w:name w:val="Balloon Text"/>
    <w:basedOn w:val="Normal"/>
    <w:link w:val="TextedebullesCar"/>
    <w:uiPriority w:val="99"/>
    <w:semiHidden/>
    <w:unhideWhenUsed/>
    <w:rsid w:val="009C5F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FA6"/>
    <w:rPr>
      <w:rFonts w:ascii="Tahoma" w:hAnsi="Tahoma" w:cs="Tahoma"/>
      <w:sz w:val="16"/>
      <w:szCs w:val="16"/>
    </w:rPr>
  </w:style>
  <w:style w:type="paragraph" w:styleId="Paragraphedeliste">
    <w:name w:val="List Paragraph"/>
    <w:basedOn w:val="Normal"/>
    <w:uiPriority w:val="34"/>
    <w:qFormat/>
    <w:rsid w:val="00641943"/>
    <w:pPr>
      <w:ind w:left="720"/>
      <w:contextualSpacing/>
    </w:pPr>
  </w:style>
  <w:style w:type="paragraph" w:styleId="Sansinterligne">
    <w:name w:val="No Spacing"/>
    <w:link w:val="SansinterligneCar"/>
    <w:uiPriority w:val="1"/>
    <w:qFormat/>
    <w:rsid w:val="0064194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41943"/>
    <w:rPr>
      <w:rFonts w:eastAsiaTheme="minorEastAsia"/>
      <w:lang w:eastAsia="fr-CA"/>
    </w:rPr>
  </w:style>
  <w:style w:type="character" w:styleId="Marquedecommentaire">
    <w:name w:val="annotation reference"/>
    <w:basedOn w:val="Policepardfaut"/>
    <w:uiPriority w:val="99"/>
    <w:semiHidden/>
    <w:unhideWhenUsed/>
    <w:rsid w:val="007405A5"/>
    <w:rPr>
      <w:sz w:val="16"/>
      <w:szCs w:val="16"/>
    </w:rPr>
  </w:style>
  <w:style w:type="paragraph" w:styleId="Commentaire">
    <w:name w:val="annotation text"/>
    <w:basedOn w:val="Normal"/>
    <w:link w:val="CommentaireCar"/>
    <w:uiPriority w:val="99"/>
    <w:unhideWhenUsed/>
    <w:rsid w:val="007405A5"/>
    <w:pPr>
      <w:spacing w:line="240" w:lineRule="auto"/>
    </w:pPr>
    <w:rPr>
      <w:sz w:val="20"/>
      <w:szCs w:val="20"/>
    </w:rPr>
  </w:style>
  <w:style w:type="character" w:customStyle="1" w:styleId="CommentaireCar">
    <w:name w:val="Commentaire Car"/>
    <w:basedOn w:val="Policepardfaut"/>
    <w:link w:val="Commentaire"/>
    <w:uiPriority w:val="99"/>
    <w:rsid w:val="007405A5"/>
    <w:rPr>
      <w:sz w:val="20"/>
      <w:szCs w:val="20"/>
    </w:rPr>
  </w:style>
  <w:style w:type="paragraph" w:styleId="Objetducommentaire">
    <w:name w:val="annotation subject"/>
    <w:basedOn w:val="Commentaire"/>
    <w:next w:val="Commentaire"/>
    <w:link w:val="ObjetducommentaireCar"/>
    <w:uiPriority w:val="99"/>
    <w:semiHidden/>
    <w:unhideWhenUsed/>
    <w:rsid w:val="007405A5"/>
    <w:rPr>
      <w:b/>
      <w:bCs/>
    </w:rPr>
  </w:style>
  <w:style w:type="character" w:customStyle="1" w:styleId="ObjetducommentaireCar">
    <w:name w:val="Objet du commentaire Car"/>
    <w:basedOn w:val="CommentaireCar"/>
    <w:link w:val="Objetducommentaire"/>
    <w:uiPriority w:val="99"/>
    <w:semiHidden/>
    <w:rsid w:val="007405A5"/>
    <w:rPr>
      <w:b/>
      <w:bCs/>
      <w:sz w:val="20"/>
      <w:szCs w:val="20"/>
    </w:rPr>
  </w:style>
  <w:style w:type="paragraph" w:styleId="En-tte">
    <w:name w:val="header"/>
    <w:basedOn w:val="Normal"/>
    <w:link w:val="En-tteCar"/>
    <w:uiPriority w:val="99"/>
    <w:unhideWhenUsed/>
    <w:rsid w:val="00575DFE"/>
    <w:pPr>
      <w:tabs>
        <w:tab w:val="center" w:pos="4320"/>
        <w:tab w:val="right" w:pos="8640"/>
      </w:tabs>
      <w:spacing w:after="0" w:line="240" w:lineRule="auto"/>
    </w:pPr>
  </w:style>
  <w:style w:type="character" w:customStyle="1" w:styleId="En-tteCar">
    <w:name w:val="En-tête Car"/>
    <w:basedOn w:val="Policepardfaut"/>
    <w:link w:val="En-tte"/>
    <w:uiPriority w:val="99"/>
    <w:rsid w:val="00575DFE"/>
  </w:style>
  <w:style w:type="paragraph" w:styleId="Pieddepage">
    <w:name w:val="footer"/>
    <w:basedOn w:val="Normal"/>
    <w:link w:val="PieddepageCar"/>
    <w:uiPriority w:val="99"/>
    <w:unhideWhenUsed/>
    <w:rsid w:val="00575D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5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D7"/>
  </w:style>
  <w:style w:type="paragraph" w:styleId="Titre1">
    <w:name w:val="heading 1"/>
    <w:basedOn w:val="Normal"/>
    <w:next w:val="Normal"/>
    <w:link w:val="Titre1Car"/>
    <w:uiPriority w:val="9"/>
    <w:qFormat/>
    <w:rsid w:val="009C5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6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61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B39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397A"/>
    <w:rPr>
      <w:sz w:val="20"/>
      <w:szCs w:val="20"/>
    </w:rPr>
  </w:style>
  <w:style w:type="character" w:styleId="Appelnotedebasdep">
    <w:name w:val="footnote reference"/>
    <w:basedOn w:val="Policepardfaut"/>
    <w:uiPriority w:val="99"/>
    <w:semiHidden/>
    <w:unhideWhenUsed/>
    <w:rsid w:val="009B397A"/>
    <w:rPr>
      <w:vertAlign w:val="superscript"/>
    </w:rPr>
  </w:style>
  <w:style w:type="character" w:styleId="Lienhypertexte">
    <w:name w:val="Hyperlink"/>
    <w:basedOn w:val="Policepardfaut"/>
    <w:uiPriority w:val="99"/>
    <w:unhideWhenUsed/>
    <w:rsid w:val="009B397A"/>
    <w:rPr>
      <w:color w:val="0000FF" w:themeColor="hyperlink"/>
      <w:u w:val="single"/>
    </w:rPr>
  </w:style>
  <w:style w:type="character" w:customStyle="1" w:styleId="Titre2Car">
    <w:name w:val="Titre 2 Car"/>
    <w:basedOn w:val="Policepardfaut"/>
    <w:link w:val="Titre2"/>
    <w:uiPriority w:val="9"/>
    <w:rsid w:val="009261E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261E7"/>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9C5FA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C5FA6"/>
    <w:pPr>
      <w:outlineLvl w:val="9"/>
    </w:pPr>
    <w:rPr>
      <w:lang w:eastAsia="fr-CA"/>
    </w:rPr>
  </w:style>
  <w:style w:type="paragraph" w:styleId="TM2">
    <w:name w:val="toc 2"/>
    <w:basedOn w:val="Normal"/>
    <w:next w:val="Normal"/>
    <w:autoRedefine/>
    <w:uiPriority w:val="39"/>
    <w:unhideWhenUsed/>
    <w:rsid w:val="009C5FA6"/>
    <w:pPr>
      <w:spacing w:after="100"/>
      <w:ind w:left="220"/>
    </w:pPr>
  </w:style>
  <w:style w:type="paragraph" w:styleId="TM3">
    <w:name w:val="toc 3"/>
    <w:basedOn w:val="Normal"/>
    <w:next w:val="Normal"/>
    <w:autoRedefine/>
    <w:uiPriority w:val="39"/>
    <w:unhideWhenUsed/>
    <w:rsid w:val="009C5FA6"/>
    <w:pPr>
      <w:spacing w:after="100"/>
      <w:ind w:left="440"/>
    </w:pPr>
  </w:style>
  <w:style w:type="paragraph" w:styleId="Textedebulles">
    <w:name w:val="Balloon Text"/>
    <w:basedOn w:val="Normal"/>
    <w:link w:val="TextedebullesCar"/>
    <w:uiPriority w:val="99"/>
    <w:semiHidden/>
    <w:unhideWhenUsed/>
    <w:rsid w:val="009C5F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FA6"/>
    <w:rPr>
      <w:rFonts w:ascii="Tahoma" w:hAnsi="Tahoma" w:cs="Tahoma"/>
      <w:sz w:val="16"/>
      <w:szCs w:val="16"/>
    </w:rPr>
  </w:style>
  <w:style w:type="paragraph" w:styleId="Paragraphedeliste">
    <w:name w:val="List Paragraph"/>
    <w:basedOn w:val="Normal"/>
    <w:uiPriority w:val="34"/>
    <w:qFormat/>
    <w:rsid w:val="00641943"/>
    <w:pPr>
      <w:ind w:left="720"/>
      <w:contextualSpacing/>
    </w:pPr>
  </w:style>
  <w:style w:type="paragraph" w:styleId="Sansinterligne">
    <w:name w:val="No Spacing"/>
    <w:link w:val="SansinterligneCar"/>
    <w:uiPriority w:val="1"/>
    <w:qFormat/>
    <w:rsid w:val="0064194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41943"/>
    <w:rPr>
      <w:rFonts w:eastAsiaTheme="minorEastAsia"/>
      <w:lang w:eastAsia="fr-CA"/>
    </w:rPr>
  </w:style>
  <w:style w:type="character" w:styleId="Marquedecommentaire">
    <w:name w:val="annotation reference"/>
    <w:basedOn w:val="Policepardfaut"/>
    <w:uiPriority w:val="99"/>
    <w:semiHidden/>
    <w:unhideWhenUsed/>
    <w:rsid w:val="007405A5"/>
    <w:rPr>
      <w:sz w:val="16"/>
      <w:szCs w:val="16"/>
    </w:rPr>
  </w:style>
  <w:style w:type="paragraph" w:styleId="Commentaire">
    <w:name w:val="annotation text"/>
    <w:basedOn w:val="Normal"/>
    <w:link w:val="CommentaireCar"/>
    <w:uiPriority w:val="99"/>
    <w:unhideWhenUsed/>
    <w:rsid w:val="007405A5"/>
    <w:pPr>
      <w:spacing w:line="240" w:lineRule="auto"/>
    </w:pPr>
    <w:rPr>
      <w:sz w:val="20"/>
      <w:szCs w:val="20"/>
    </w:rPr>
  </w:style>
  <w:style w:type="character" w:customStyle="1" w:styleId="CommentaireCar">
    <w:name w:val="Commentaire Car"/>
    <w:basedOn w:val="Policepardfaut"/>
    <w:link w:val="Commentaire"/>
    <w:uiPriority w:val="99"/>
    <w:rsid w:val="007405A5"/>
    <w:rPr>
      <w:sz w:val="20"/>
      <w:szCs w:val="20"/>
    </w:rPr>
  </w:style>
  <w:style w:type="paragraph" w:styleId="Objetducommentaire">
    <w:name w:val="annotation subject"/>
    <w:basedOn w:val="Commentaire"/>
    <w:next w:val="Commentaire"/>
    <w:link w:val="ObjetducommentaireCar"/>
    <w:uiPriority w:val="99"/>
    <w:semiHidden/>
    <w:unhideWhenUsed/>
    <w:rsid w:val="007405A5"/>
    <w:rPr>
      <w:b/>
      <w:bCs/>
    </w:rPr>
  </w:style>
  <w:style w:type="character" w:customStyle="1" w:styleId="ObjetducommentaireCar">
    <w:name w:val="Objet du commentaire Car"/>
    <w:basedOn w:val="CommentaireCar"/>
    <w:link w:val="Objetducommentaire"/>
    <w:uiPriority w:val="99"/>
    <w:semiHidden/>
    <w:rsid w:val="007405A5"/>
    <w:rPr>
      <w:b/>
      <w:bCs/>
      <w:sz w:val="20"/>
      <w:szCs w:val="20"/>
    </w:rPr>
  </w:style>
  <w:style w:type="paragraph" w:styleId="En-tte">
    <w:name w:val="header"/>
    <w:basedOn w:val="Normal"/>
    <w:link w:val="En-tteCar"/>
    <w:uiPriority w:val="99"/>
    <w:unhideWhenUsed/>
    <w:rsid w:val="00575DFE"/>
    <w:pPr>
      <w:tabs>
        <w:tab w:val="center" w:pos="4320"/>
        <w:tab w:val="right" w:pos="8640"/>
      </w:tabs>
      <w:spacing w:after="0" w:line="240" w:lineRule="auto"/>
    </w:pPr>
  </w:style>
  <w:style w:type="character" w:customStyle="1" w:styleId="En-tteCar">
    <w:name w:val="En-tête Car"/>
    <w:basedOn w:val="Policepardfaut"/>
    <w:link w:val="En-tte"/>
    <w:uiPriority w:val="99"/>
    <w:rsid w:val="00575DFE"/>
  </w:style>
  <w:style w:type="paragraph" w:styleId="Pieddepage">
    <w:name w:val="footer"/>
    <w:basedOn w:val="Normal"/>
    <w:link w:val="PieddepageCar"/>
    <w:uiPriority w:val="99"/>
    <w:unhideWhenUsed/>
    <w:rsid w:val="00575D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9555">
      <w:bodyDiv w:val="1"/>
      <w:marLeft w:val="0"/>
      <w:marRight w:val="0"/>
      <w:marTop w:val="0"/>
      <w:marBottom w:val="0"/>
      <w:divBdr>
        <w:top w:val="none" w:sz="0" w:space="0" w:color="auto"/>
        <w:left w:val="none" w:sz="0" w:space="0" w:color="auto"/>
        <w:bottom w:val="none" w:sz="0" w:space="0" w:color="auto"/>
        <w:right w:val="none" w:sz="0" w:space="0" w:color="auto"/>
      </w:divBdr>
    </w:div>
    <w:div w:id="1234464592">
      <w:bodyDiv w:val="1"/>
      <w:marLeft w:val="0"/>
      <w:marRight w:val="0"/>
      <w:marTop w:val="0"/>
      <w:marBottom w:val="0"/>
      <w:divBdr>
        <w:top w:val="none" w:sz="0" w:space="0" w:color="auto"/>
        <w:left w:val="none" w:sz="0" w:space="0" w:color="auto"/>
        <w:bottom w:val="none" w:sz="0" w:space="0" w:color="auto"/>
        <w:right w:val="none" w:sz="0" w:space="0" w:color="auto"/>
      </w:divBdr>
      <w:divsChild>
        <w:div w:id="1248538615">
          <w:marLeft w:val="450"/>
          <w:marRight w:val="0"/>
          <w:marTop w:val="0"/>
          <w:marBottom w:val="0"/>
          <w:divBdr>
            <w:top w:val="none" w:sz="0" w:space="0" w:color="auto"/>
            <w:left w:val="none" w:sz="0" w:space="0" w:color="auto"/>
            <w:bottom w:val="none" w:sz="0" w:space="0" w:color="auto"/>
            <w:right w:val="none" w:sz="0" w:space="0" w:color="auto"/>
          </w:divBdr>
        </w:div>
        <w:div w:id="77976608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s.msss.gouv.qc.ca/acrobat/f/documentation/2013/13-823-01W.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E416-DE68-4C76-9713-EF4542CB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5470</Words>
  <Characters>30087</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Jacques</cp:lastModifiedBy>
  <cp:revision>2</cp:revision>
  <cp:lastPrinted>2014-11-08T21:22:00Z</cp:lastPrinted>
  <dcterms:created xsi:type="dcterms:W3CDTF">2014-11-10T23:46:00Z</dcterms:created>
  <dcterms:modified xsi:type="dcterms:W3CDTF">2014-11-10T23:46:00Z</dcterms:modified>
</cp:coreProperties>
</file>